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834" w:rsidRPr="00AD2F54" w:rsidRDefault="000F7478" w:rsidP="00C92ECE">
      <w:pPr>
        <w:spacing w:after="34" w:line="253" w:lineRule="auto"/>
        <w:ind w:left="0" w:right="1015" w:firstLine="0"/>
        <w:rPr>
          <w:rFonts w:ascii="Calibri Light" w:hAnsi="Calibri Light" w:cs="Calibri Light"/>
          <w:color w:val="auto"/>
          <w:sz w:val="32"/>
          <w:szCs w:val="32"/>
        </w:rPr>
      </w:pPr>
      <w:r>
        <w:rPr>
          <w:rFonts w:ascii="Calibri Light" w:hAnsi="Calibri Light" w:cs="Calibri Light"/>
          <w:noProof/>
          <w:color w:val="auto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143.15pt;margin-top:.2pt;width:360.95pt;height:69.6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">
            <v:textbox>
              <w:txbxContent>
                <w:p w:rsidR="00EF1F36" w:rsidRPr="00900EC6" w:rsidRDefault="00912418" w:rsidP="00EF1F36">
                  <w:pPr>
                    <w:ind w:left="0"/>
                    <w:jc w:val="both"/>
                    <w:rPr>
                      <w:b/>
                      <w:bCs/>
                    </w:rPr>
                  </w:pPr>
                  <w:r w:rsidRPr="00912418">
                    <w:rPr>
                      <w:rFonts w:ascii="Calibri Light" w:hAnsi="Calibri Light" w:cs="Calibri Light"/>
                      <w:b/>
                      <w:bCs/>
                      <w:color w:val="auto"/>
                      <w:sz w:val="32"/>
                      <w:szCs w:val="32"/>
                    </w:rPr>
                    <w:t xml:space="preserve">Choroby wewnętrzne z elementami onkologii </w:t>
                  </w:r>
                  <w:r w:rsidR="00481BE4">
                    <w:rPr>
                      <w:rFonts w:ascii="Calibri Light" w:hAnsi="Calibri Light" w:cs="Calibri Light"/>
                      <w:b/>
                      <w:bCs/>
                      <w:color w:val="auto"/>
                      <w:sz w:val="32"/>
                      <w:szCs w:val="32"/>
                    </w:rPr>
                    <w:t>–</w:t>
                  </w:r>
                  <w:r w:rsidRPr="00912418">
                    <w:rPr>
                      <w:rFonts w:ascii="Calibri Light" w:hAnsi="Calibri Light" w:cs="Calibri Light"/>
                      <w:b/>
                      <w:bCs/>
                      <w:color w:val="auto"/>
                      <w:sz w:val="32"/>
                      <w:szCs w:val="32"/>
                    </w:rPr>
                    <w:t xml:space="preserve"> </w:t>
                  </w:r>
                  <w:r w:rsidR="00481BE4">
                    <w:rPr>
                      <w:rFonts w:ascii="Calibri Light" w:hAnsi="Calibri Light" w:cs="Calibri Light"/>
                      <w:b/>
                      <w:bCs/>
                      <w:color w:val="auto"/>
                      <w:sz w:val="32"/>
                      <w:szCs w:val="32"/>
                    </w:rPr>
                    <w:t>Epidemiologia nowotworów i onkologiczne stany zagrożenia życia</w:t>
                  </w:r>
                </w:p>
              </w:txbxContent>
            </v:textbox>
            <w10:wrap type="square"/>
          </v:shape>
        </w:pict>
      </w:r>
      <w:r w:rsidR="00C92ECE">
        <w:rPr>
          <w:rFonts w:ascii="Calibri Light" w:hAnsi="Calibri Light" w:cs="Calibri Light"/>
          <w:noProof/>
          <w:color w:val="auto"/>
          <w:sz w:val="32"/>
          <w:szCs w:val="32"/>
        </w:rPr>
        <w:drawing>
          <wp:inline distT="0" distB="0" distL="0" distR="0">
            <wp:extent cx="1011600" cy="1011600"/>
            <wp:effectExtent l="0" t="0" r="444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34" w:rsidRPr="00C01834" w:rsidRDefault="00C01834" w:rsidP="00C01834">
      <w:pPr>
        <w:spacing w:after="103" w:line="259" w:lineRule="auto"/>
        <w:ind w:left="75" w:right="1416" w:firstLine="0"/>
        <w:jc w:val="righ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205" w:type="dxa"/>
        </w:tblCellMar>
        <w:tblLook w:val="04A0"/>
      </w:tblPr>
      <w:tblGrid>
        <w:gridCol w:w="2961"/>
        <w:gridCol w:w="7229"/>
      </w:tblGrid>
      <w:tr w:rsidR="009E635F" w:rsidRPr="00C01834" w:rsidTr="00EF1F36">
        <w:trPr>
          <w:trHeight w:val="510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9E635F" w:rsidRPr="00C92ECE" w:rsidRDefault="009E635F" w:rsidP="00C92E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 w:val="24"/>
                <w:szCs w:val="24"/>
              </w:rPr>
            </w:pPr>
            <w:r w:rsidRPr="00C92ECE">
              <w:rPr>
                <w:b/>
                <w:smallCaps/>
                <w:color w:val="auto"/>
                <w:sz w:val="24"/>
                <w:szCs w:val="24"/>
              </w:rPr>
              <w:t>Metryczka</w:t>
            </w:r>
          </w:p>
        </w:tc>
      </w:tr>
      <w:tr w:rsidR="00470E8F" w:rsidRPr="00C01834" w:rsidTr="00B973EC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70E8F" w:rsidRPr="00C01834" w:rsidRDefault="00470E8F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Rok akademicki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A2186B" w:rsidRPr="00C01834" w:rsidRDefault="00A2186B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2025/2026</w:t>
            </w:r>
          </w:p>
        </w:tc>
      </w:tr>
      <w:tr w:rsidR="00C01834" w:rsidRPr="00C01834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Wydział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A2186B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Wydział Nauk o Zdrowiu</w:t>
            </w:r>
          </w:p>
        </w:tc>
      </w:tr>
      <w:tr w:rsidR="00C01834" w:rsidRPr="00C01834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470E8F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>Kierunek studiów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A2186B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Ratownictwo Medyczne</w:t>
            </w:r>
          </w:p>
        </w:tc>
      </w:tr>
      <w:tr w:rsidR="00C01834" w:rsidRPr="00C01834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470E8F" w:rsidP="00EF1F36">
            <w:pPr>
              <w:spacing w:after="0" w:line="259" w:lineRule="auto"/>
              <w:ind w:left="0" w:right="-351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Dyscyplina wiodąca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9C045F" w:rsidRPr="009C045F" w:rsidRDefault="009C045F" w:rsidP="00EF1F36">
            <w:pPr>
              <w:spacing w:after="0" w:line="259" w:lineRule="auto"/>
              <w:ind w:left="0" w:right="-351" w:firstLine="0"/>
              <w:rPr>
                <w:bCs/>
                <w:i/>
                <w:iCs/>
                <w:color w:val="000000" w:themeColor="text1"/>
                <w:szCs w:val="18"/>
              </w:rPr>
            </w:pPr>
            <w:r w:rsidRPr="009C045F">
              <w:rPr>
                <w:bCs/>
                <w:i/>
                <w:iCs/>
                <w:color w:val="000000" w:themeColor="text1"/>
                <w:szCs w:val="18"/>
              </w:rPr>
              <w:t xml:space="preserve">Nauki o zdrowiu </w:t>
            </w:r>
          </w:p>
          <w:p w:rsidR="00C01834" w:rsidRPr="00C01834" w:rsidRDefault="00C01834" w:rsidP="00EF1F36">
            <w:pPr>
              <w:spacing w:after="0" w:line="259" w:lineRule="auto"/>
              <w:ind w:left="0" w:right="-351" w:firstLine="0"/>
              <w:rPr>
                <w:b/>
                <w:color w:val="auto"/>
              </w:rPr>
            </w:pPr>
          </w:p>
        </w:tc>
      </w:tr>
      <w:tr w:rsidR="00C01834" w:rsidRPr="00C01834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470E8F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Profil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A2186B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Praktyczny</w:t>
            </w:r>
          </w:p>
        </w:tc>
      </w:tr>
      <w:tr w:rsidR="00C01834" w:rsidRPr="00C01834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470E8F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Poziom kształcenia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A2186B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Cs/>
                <w:i/>
                <w:iCs/>
                <w:color w:val="auto"/>
                <w:sz w:val="16"/>
                <w:szCs w:val="20"/>
              </w:rPr>
              <w:t>I stopnia</w:t>
            </w:r>
          </w:p>
        </w:tc>
      </w:tr>
      <w:tr w:rsidR="00C01834" w:rsidRPr="00C01834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470E8F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 xml:space="preserve">Forma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EF1F3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8A2F0E">
              <w:rPr>
                <w:bCs/>
                <w:i/>
                <w:iCs/>
                <w:color w:val="auto"/>
                <w:sz w:val="16"/>
                <w:szCs w:val="20"/>
              </w:rPr>
              <w:t>stacjonarne</w:t>
            </w:r>
          </w:p>
        </w:tc>
      </w:tr>
      <w:tr w:rsidR="00A63CE6" w:rsidRPr="00C01834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63CE6" w:rsidRPr="00C01834" w:rsidRDefault="00A63CE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Typ modułu/przedmiotu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A63CE6" w:rsidRPr="00C01834" w:rsidRDefault="00EF1F3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i/>
                <w:iCs/>
                <w:color w:val="auto"/>
                <w:sz w:val="16"/>
                <w:szCs w:val="20"/>
              </w:rPr>
              <w:t>o</w:t>
            </w:r>
            <w:r w:rsidRPr="008A2F0E">
              <w:rPr>
                <w:i/>
                <w:iCs/>
                <w:color w:val="auto"/>
                <w:sz w:val="16"/>
                <w:szCs w:val="20"/>
              </w:rPr>
              <w:t>bowiązkowy</w:t>
            </w:r>
          </w:p>
        </w:tc>
      </w:tr>
      <w:tr w:rsidR="00A63CE6" w:rsidRPr="00C01834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63CE6" w:rsidRPr="00C01834" w:rsidRDefault="00A63CE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Forma weryfikacji efektów uczenia</w:t>
            </w:r>
            <w:r w:rsidR="00EF1F36">
              <w:rPr>
                <w:b/>
                <w:color w:val="auto"/>
              </w:rPr>
              <w:t> </w:t>
            </w:r>
            <w:r w:rsidRPr="00C01834">
              <w:rPr>
                <w:b/>
                <w:color w:val="auto"/>
              </w:rPr>
              <w:t xml:space="preserve">się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A63CE6" w:rsidRPr="004C7836" w:rsidRDefault="006557EB" w:rsidP="00EF1F36">
            <w:pPr>
              <w:spacing w:after="0" w:line="259" w:lineRule="auto"/>
              <w:ind w:left="0" w:firstLine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zaliczenie</w:t>
            </w:r>
          </w:p>
        </w:tc>
      </w:tr>
      <w:tr w:rsidR="00A63CE6" w:rsidRPr="00AD644F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63CE6" w:rsidRPr="00C01834" w:rsidRDefault="00EF1F3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Jednostka prowadząca /jednostki prowadzące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F1290D" w:rsidRPr="00AD644F" w:rsidRDefault="009A408F" w:rsidP="00F1290D">
            <w:pPr>
              <w:spacing w:after="0" w:line="259" w:lineRule="auto"/>
              <w:ind w:left="0" w:firstLine="0"/>
              <w:rPr>
                <w:bCs/>
                <w:i/>
                <w:iCs/>
                <w:color w:val="auto"/>
                <w:sz w:val="16"/>
                <w:szCs w:val="16"/>
              </w:rPr>
            </w:pPr>
            <w:r w:rsidRPr="00AD644F">
              <w:rPr>
                <w:bCs/>
                <w:i/>
                <w:iCs/>
                <w:color w:val="auto"/>
                <w:sz w:val="16"/>
                <w:szCs w:val="16"/>
              </w:rPr>
              <w:t xml:space="preserve">Zakład </w:t>
            </w:r>
            <w:r w:rsidR="00481BE4" w:rsidRPr="00AD644F">
              <w:rPr>
                <w:bCs/>
                <w:i/>
                <w:iCs/>
                <w:color w:val="auto"/>
                <w:sz w:val="16"/>
                <w:szCs w:val="16"/>
              </w:rPr>
              <w:t>Propedeutyki Onkologicznej</w:t>
            </w:r>
          </w:p>
          <w:p w:rsidR="00AD644F" w:rsidRPr="00AD644F" w:rsidRDefault="00AD644F" w:rsidP="00AD644F">
            <w:pPr>
              <w:spacing w:after="0" w:line="259" w:lineRule="auto"/>
              <w:ind w:left="0" w:firstLine="0"/>
              <w:rPr>
                <w:bCs/>
                <w:i/>
                <w:iCs/>
                <w:color w:val="auto"/>
                <w:sz w:val="16"/>
                <w:szCs w:val="16"/>
              </w:rPr>
            </w:pPr>
            <w:r w:rsidRPr="00AD644F">
              <w:rPr>
                <w:bCs/>
                <w:i/>
                <w:iCs/>
                <w:color w:val="auto"/>
                <w:sz w:val="16"/>
                <w:szCs w:val="16"/>
              </w:rPr>
              <w:t>ul. Erazma Ciołka 27</w:t>
            </w:r>
          </w:p>
          <w:p w:rsidR="00AD644F" w:rsidRPr="00AD644F" w:rsidRDefault="00AD644F" w:rsidP="00AD644F">
            <w:pPr>
              <w:spacing w:after="0" w:line="259" w:lineRule="auto"/>
              <w:ind w:left="0" w:firstLine="0"/>
              <w:rPr>
                <w:bCs/>
                <w:i/>
                <w:iCs/>
                <w:color w:val="auto"/>
                <w:sz w:val="16"/>
                <w:szCs w:val="16"/>
              </w:rPr>
            </w:pPr>
            <w:r w:rsidRPr="00AD644F">
              <w:rPr>
                <w:bCs/>
                <w:i/>
                <w:iCs/>
                <w:color w:val="auto"/>
                <w:sz w:val="16"/>
                <w:szCs w:val="16"/>
              </w:rPr>
              <w:t>01-445 Warszawa</w:t>
            </w:r>
          </w:p>
          <w:p w:rsidR="00AD644F" w:rsidRPr="00AD644F" w:rsidRDefault="00AD644F" w:rsidP="00AD644F">
            <w:pPr>
              <w:spacing w:after="0" w:line="259" w:lineRule="auto"/>
              <w:ind w:left="0" w:firstLine="0"/>
              <w:rPr>
                <w:bCs/>
                <w:i/>
                <w:iCs/>
                <w:color w:val="auto"/>
                <w:sz w:val="16"/>
                <w:szCs w:val="16"/>
              </w:rPr>
            </w:pPr>
            <w:r w:rsidRPr="00AD644F">
              <w:rPr>
                <w:bCs/>
                <w:i/>
                <w:iCs/>
                <w:color w:val="auto"/>
                <w:sz w:val="16"/>
                <w:szCs w:val="16"/>
              </w:rPr>
              <w:t>tel.: 22 57-20-702</w:t>
            </w:r>
          </w:p>
          <w:p w:rsidR="003355FC" w:rsidRPr="00012895" w:rsidRDefault="00AD644F" w:rsidP="00AD644F">
            <w:pPr>
              <w:spacing w:after="0" w:line="259" w:lineRule="auto"/>
              <w:ind w:left="0" w:firstLine="0"/>
              <w:rPr>
                <w:bCs/>
                <w:color w:val="auto"/>
                <w:sz w:val="16"/>
                <w:szCs w:val="16"/>
              </w:rPr>
            </w:pPr>
            <w:r w:rsidRPr="00012895">
              <w:rPr>
                <w:bCs/>
                <w:i/>
                <w:iCs/>
                <w:color w:val="auto"/>
                <w:sz w:val="16"/>
                <w:szCs w:val="16"/>
              </w:rPr>
              <w:t>e-mail: nzx@wum.edu.pl</w:t>
            </w:r>
          </w:p>
        </w:tc>
      </w:tr>
      <w:tr w:rsidR="006D018B" w:rsidRPr="00C01834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D018B" w:rsidRPr="00C01834" w:rsidRDefault="006D018B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Kierownik jednostki/kierownicy jednostek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6D018B" w:rsidRPr="00F81FD3" w:rsidRDefault="00602485" w:rsidP="00C8719A">
            <w:pPr>
              <w:spacing w:after="0" w:line="259" w:lineRule="auto"/>
              <w:ind w:left="0" w:firstLine="0"/>
              <w:jc w:val="both"/>
              <w:rPr>
                <w:bCs/>
                <w:i/>
                <w:iCs/>
                <w:color w:val="auto"/>
              </w:rPr>
            </w:pPr>
            <w:r w:rsidRPr="00F81FD3">
              <w:rPr>
                <w:bCs/>
                <w:i/>
                <w:iCs/>
                <w:color w:val="auto"/>
              </w:rPr>
              <w:t>prof. dr hab</w:t>
            </w:r>
            <w:r w:rsidR="00F81FD3" w:rsidRPr="00F81FD3">
              <w:rPr>
                <w:bCs/>
                <w:i/>
                <w:iCs/>
                <w:color w:val="auto"/>
              </w:rPr>
              <w:t xml:space="preserve">. </w:t>
            </w:r>
            <w:r w:rsidR="00C8719A" w:rsidRPr="00F81FD3">
              <w:rPr>
                <w:bCs/>
                <w:i/>
                <w:iCs/>
                <w:color w:val="auto"/>
              </w:rPr>
              <w:t>Andrzej Deptała</w:t>
            </w:r>
          </w:p>
        </w:tc>
      </w:tr>
      <w:tr w:rsidR="006D018B" w:rsidRPr="00C01834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D018B" w:rsidRDefault="006D018B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Koordynator przedmiotu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6D018B" w:rsidRPr="00F81FD3" w:rsidRDefault="00AF12D6" w:rsidP="00EF1F36">
            <w:pPr>
              <w:spacing w:after="0" w:line="259" w:lineRule="auto"/>
              <w:ind w:left="0" w:firstLine="0"/>
              <w:rPr>
                <w:bCs/>
                <w:i/>
                <w:iCs/>
                <w:color w:val="auto"/>
              </w:rPr>
            </w:pPr>
            <w:r w:rsidRPr="00F81FD3">
              <w:rPr>
                <w:bCs/>
                <w:i/>
                <w:iCs/>
                <w:color w:val="auto"/>
              </w:rPr>
              <w:t>dr Michał Budzik</w:t>
            </w:r>
            <w:r w:rsidR="00DE0923" w:rsidRPr="00F81FD3">
              <w:rPr>
                <w:bCs/>
                <w:i/>
                <w:iCs/>
                <w:color w:val="auto"/>
              </w:rPr>
              <w:t>, michal.budzik@wum.edu.pl</w:t>
            </w:r>
          </w:p>
        </w:tc>
      </w:tr>
      <w:tr w:rsidR="000930E0" w:rsidRPr="00C01834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930E0" w:rsidRPr="00C01834" w:rsidRDefault="000930E0" w:rsidP="000930E0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Osoba odpowiedzialna za sylabus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0930E0" w:rsidRPr="00F81FD3" w:rsidRDefault="000930E0" w:rsidP="000930E0">
            <w:pPr>
              <w:spacing w:after="0" w:line="259" w:lineRule="auto"/>
              <w:ind w:left="0" w:firstLine="0"/>
              <w:rPr>
                <w:bCs/>
                <w:i/>
                <w:iCs/>
                <w:color w:val="auto"/>
              </w:rPr>
            </w:pPr>
            <w:r w:rsidRPr="00F81FD3">
              <w:rPr>
                <w:bCs/>
                <w:i/>
                <w:iCs/>
                <w:color w:val="auto"/>
              </w:rPr>
              <w:t>dr Michał Budzik, michal.budzik@wum.edu.pl</w:t>
            </w:r>
          </w:p>
        </w:tc>
      </w:tr>
      <w:tr w:rsidR="000930E0" w:rsidRPr="00C01834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930E0" w:rsidRPr="00C01834" w:rsidRDefault="000930E0" w:rsidP="000930E0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Prowadzący zajęcia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0930E0" w:rsidRPr="00F81FD3" w:rsidRDefault="000930E0" w:rsidP="000930E0">
            <w:pPr>
              <w:spacing w:after="0" w:line="259" w:lineRule="auto"/>
              <w:ind w:left="0" w:firstLine="0"/>
              <w:rPr>
                <w:bCs/>
                <w:i/>
                <w:iCs/>
                <w:color w:val="auto"/>
              </w:rPr>
            </w:pPr>
            <w:r w:rsidRPr="00F81FD3">
              <w:rPr>
                <w:bCs/>
                <w:i/>
                <w:iCs/>
                <w:color w:val="auto"/>
              </w:rPr>
              <w:t>dr Michał Budzik</w:t>
            </w:r>
          </w:p>
        </w:tc>
      </w:tr>
    </w:tbl>
    <w:p w:rsidR="00C01834" w:rsidRDefault="00C01834" w:rsidP="00E55362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p w:rsidR="003B3D74" w:rsidRDefault="003B3D74" w:rsidP="00E55362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p w:rsidR="003B3D74" w:rsidRPr="00E55362" w:rsidRDefault="003B3D74" w:rsidP="00E55362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/>
      </w:tblPr>
      <w:tblGrid>
        <w:gridCol w:w="1827"/>
        <w:gridCol w:w="3778"/>
        <w:gridCol w:w="1325"/>
        <w:gridCol w:w="1630"/>
        <w:gridCol w:w="1630"/>
      </w:tblGrid>
      <w:tr w:rsidR="00C92ECE" w:rsidRPr="00C01834" w:rsidTr="001B4491">
        <w:trPr>
          <w:trHeight w:val="510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C92ECE" w:rsidRPr="00C92ECE" w:rsidRDefault="00C92ECE" w:rsidP="00C92ECE">
            <w:pPr>
              <w:pStyle w:val="Akapitzlist"/>
              <w:numPr>
                <w:ilvl w:val="0"/>
                <w:numId w:val="1"/>
              </w:numPr>
              <w:spacing w:after="0" w:line="236" w:lineRule="auto"/>
              <w:rPr>
                <w:b/>
                <w:smallCaps/>
                <w:color w:val="auto"/>
              </w:rPr>
            </w:pPr>
            <w:r w:rsidRPr="00C92ECE">
              <w:rPr>
                <w:b/>
                <w:smallCaps/>
                <w:color w:val="auto"/>
                <w:sz w:val="24"/>
              </w:rPr>
              <w:lastRenderedPageBreak/>
              <w:t>Informacje podstawowe</w:t>
            </w:r>
          </w:p>
        </w:tc>
      </w:tr>
      <w:tr w:rsidR="00C92ECE" w:rsidRPr="00C01834" w:rsidTr="001B4491">
        <w:trPr>
          <w:trHeight w:val="510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C92ECE" w:rsidRPr="00C01834" w:rsidRDefault="00C92ECE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Rok i semestr studiów</w:t>
            </w:r>
          </w:p>
        </w:tc>
        <w:tc>
          <w:tcPr>
            <w:tcW w:w="510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C92ECE" w:rsidRPr="00C01834" w:rsidRDefault="00A2186B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I</w:t>
            </w:r>
            <w:r w:rsidR="006724FA">
              <w:rPr>
                <w:color w:val="auto"/>
              </w:rPr>
              <w:t>I</w:t>
            </w:r>
            <w:r>
              <w:rPr>
                <w:color w:val="auto"/>
              </w:rPr>
              <w:t xml:space="preserve"> rok</w:t>
            </w:r>
            <w:r w:rsidR="007E5F77">
              <w:rPr>
                <w:color w:val="auto"/>
              </w:rPr>
              <w:t xml:space="preserve"> </w:t>
            </w:r>
            <w:r>
              <w:rPr>
                <w:color w:val="auto"/>
              </w:rPr>
              <w:t>/</w:t>
            </w:r>
            <w:r w:rsidR="004C7836">
              <w:rPr>
                <w:color w:val="auto"/>
              </w:rPr>
              <w:t xml:space="preserve"> </w:t>
            </w:r>
            <w:r w:rsidR="00D81B80">
              <w:rPr>
                <w:color w:val="auto"/>
              </w:rPr>
              <w:t xml:space="preserve"> </w:t>
            </w:r>
            <w:r w:rsidR="00912418">
              <w:rPr>
                <w:color w:val="auto"/>
              </w:rPr>
              <w:t>I</w:t>
            </w:r>
            <w:r w:rsidR="00D81B80">
              <w:rPr>
                <w:color w:val="auto"/>
              </w:rPr>
              <w:t>I</w:t>
            </w:r>
            <w:r w:rsidR="00401762">
              <w:rPr>
                <w:color w:val="auto"/>
              </w:rPr>
              <w:t xml:space="preserve"> </w:t>
            </w:r>
            <w:r>
              <w:rPr>
                <w:color w:val="auto"/>
              </w:rPr>
              <w:t>semestr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C92ECE" w:rsidRPr="00C01834" w:rsidRDefault="00C92ECE" w:rsidP="00D773DA">
            <w:pPr>
              <w:spacing w:after="0" w:line="236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Liczba punktów ECTS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C92ECE" w:rsidRPr="00C01834" w:rsidRDefault="00DC3980" w:rsidP="00D773DA">
            <w:pPr>
              <w:spacing w:after="160" w:line="259" w:lineRule="auto"/>
              <w:ind w:left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724BB4" w:rsidRPr="00C01834" w:rsidTr="001B4491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6A6A6" w:themeColor="background1" w:themeShade="A6"/>
            </w:tcBorders>
          </w:tcPr>
          <w:p w:rsidR="00724BB4" w:rsidRPr="00724BB4" w:rsidRDefault="00724BB4" w:rsidP="001B4491">
            <w:pPr>
              <w:spacing w:after="0" w:line="259" w:lineRule="auto"/>
              <w:ind w:left="0" w:firstLine="0"/>
              <w:rPr>
                <w:b/>
                <w:smallCaps/>
                <w:color w:val="auto"/>
                <w:sz w:val="22"/>
              </w:rPr>
            </w:pPr>
            <w:r w:rsidRPr="00724BB4">
              <w:rPr>
                <w:b/>
                <w:smallCaps/>
                <w:color w:val="auto"/>
                <w:sz w:val="22"/>
              </w:rPr>
              <w:t>Forma prowadzenia zajęć</w:t>
            </w:r>
          </w:p>
        </w:tc>
        <w:tc>
          <w:tcPr>
            <w:tcW w:w="1325" w:type="dxa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Liczba godzin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Kalkulacja punktów ECTS</w:t>
            </w:r>
          </w:p>
        </w:tc>
      </w:tr>
      <w:tr w:rsidR="00724BB4" w:rsidRPr="00C01834" w:rsidTr="001B4491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6A6A6" w:themeColor="background1" w:themeShade="A6"/>
            </w:tcBorders>
          </w:tcPr>
          <w:p w:rsidR="00724BB4" w:rsidRPr="00C01834" w:rsidRDefault="00724BB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24BB4">
              <w:rPr>
                <w:b/>
                <w:color w:val="auto"/>
              </w:rPr>
              <w:t>Godziny kontaktowe z nauczycielem akademickim</w:t>
            </w:r>
          </w:p>
        </w:tc>
        <w:tc>
          <w:tcPr>
            <w:tcW w:w="1325" w:type="dxa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:rsidR="00724BB4" w:rsidRPr="00C01834" w:rsidRDefault="00724BB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:rsidR="00724BB4" w:rsidRPr="00C01834" w:rsidRDefault="00724BB4" w:rsidP="00D773DA">
            <w:pPr>
              <w:spacing w:after="160" w:line="259" w:lineRule="auto"/>
              <w:ind w:left="0" w:firstLine="0"/>
              <w:rPr>
                <w:b/>
                <w:color w:val="auto"/>
              </w:rPr>
            </w:pPr>
          </w:p>
        </w:tc>
      </w:tr>
      <w:tr w:rsidR="00C01834" w:rsidRPr="00C01834" w:rsidTr="001B4491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wykład (W)</w:t>
            </w:r>
          </w:p>
        </w:tc>
        <w:tc>
          <w:tcPr>
            <w:tcW w:w="1325" w:type="dxa"/>
            <w:tcBorders>
              <w:top w:val="single" w:sz="6" w:space="0" w:color="A6A6A6" w:themeColor="background1" w:themeShade="A6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6A6A6" w:themeColor="background1" w:themeShade="A6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seminarium (S)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481BE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527D1C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0,</w:t>
            </w:r>
            <w:r w:rsidR="00BB0EA6">
              <w:rPr>
                <w:color w:val="auto"/>
              </w:rPr>
              <w:t>5</w:t>
            </w:r>
          </w:p>
        </w:tc>
      </w:tr>
      <w:tr w:rsidR="00C01834" w:rsidRPr="00C01834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ćwiczenia (C)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e-learning (e-L)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zajęcia praktyczne (ZP)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praktyka zawodowa (PZ)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:rsidTr="00D773DA">
        <w:trPr>
          <w:trHeight w:val="381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D773DA">
            <w:pPr>
              <w:spacing w:after="160" w:line="259" w:lineRule="auto"/>
              <w:ind w:left="0" w:firstLine="0"/>
              <w:rPr>
                <w:b/>
                <w:bCs/>
                <w:color w:val="auto"/>
              </w:rPr>
            </w:pPr>
            <w:r w:rsidRPr="00C01834">
              <w:rPr>
                <w:b/>
                <w:bCs/>
                <w:color w:val="auto"/>
              </w:rPr>
              <w:t>Samodzielna praca studenta</w:t>
            </w:r>
          </w:p>
        </w:tc>
      </w:tr>
      <w:tr w:rsidR="00C01834" w:rsidRPr="00C01834" w:rsidTr="00BB23E6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Przygotowanie do zajęć i zaliczeń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481BE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BB0EA6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0,5</w:t>
            </w:r>
          </w:p>
        </w:tc>
      </w:tr>
    </w:tbl>
    <w:p w:rsidR="00C01834" w:rsidRPr="00C01834" w:rsidRDefault="00C01834" w:rsidP="00CA3ACF">
      <w:pPr>
        <w:pStyle w:val="Nagwek1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/>
      </w:tblPr>
      <w:tblGrid>
        <w:gridCol w:w="750"/>
        <w:gridCol w:w="9440"/>
      </w:tblGrid>
      <w:tr w:rsidR="00C92ECE" w:rsidRPr="00C01834" w:rsidTr="00DA16E6">
        <w:trPr>
          <w:trHeight w:val="258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C92ECE" w:rsidRPr="00C92ECE" w:rsidRDefault="00C92ECE" w:rsidP="00C92E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353"/>
              <w:rPr>
                <w:b/>
                <w:smallCaps/>
                <w:color w:val="auto"/>
                <w:sz w:val="24"/>
              </w:rPr>
            </w:pPr>
            <w:r w:rsidRPr="00C92ECE">
              <w:rPr>
                <w:b/>
                <w:smallCaps/>
                <w:color w:val="auto"/>
                <w:sz w:val="24"/>
              </w:rPr>
              <w:t xml:space="preserve">Cele </w:t>
            </w:r>
            <w:r w:rsidR="00BB23E6">
              <w:rPr>
                <w:b/>
                <w:smallCaps/>
                <w:color w:val="auto"/>
                <w:sz w:val="24"/>
              </w:rPr>
              <w:t>kształcenia</w:t>
            </w:r>
          </w:p>
        </w:tc>
      </w:tr>
      <w:tr w:rsidR="00C01834" w:rsidRPr="00C01834" w:rsidTr="00861D21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C01834" w:rsidRPr="00C01834" w:rsidRDefault="00C01834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C1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2F6BAD" w:rsidP="00D773DA">
            <w:pPr>
              <w:spacing w:after="0" w:line="259" w:lineRule="auto"/>
              <w:ind w:left="0" w:right="353" w:firstLine="0"/>
              <w:rPr>
                <w:color w:val="auto"/>
              </w:rPr>
            </w:pPr>
            <w:r w:rsidRPr="002F6BAD">
              <w:rPr>
                <w:color w:val="auto"/>
              </w:rPr>
              <w:t>Nabycie umiejętności oceny stanu pacjenta oraz postępowania w stanie nagłego zagrożenia zdrowia i życia pacjenta onkologicznego</w:t>
            </w:r>
          </w:p>
        </w:tc>
      </w:tr>
      <w:tr w:rsidR="00C01834" w:rsidRPr="00C01834" w:rsidTr="00861D21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C01834" w:rsidRPr="00C01834" w:rsidRDefault="00C01834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C2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096A0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96A04">
              <w:rPr>
                <w:color w:val="auto"/>
              </w:rPr>
              <w:t>Zdobycie wiedzy w zakresie najczęstszych zagrożeń zdrowia wynikających z zaawansowania nowotworu i poznanie wpływu różnych sposobów leczenia nowotworów na stan chorego</w:t>
            </w:r>
          </w:p>
        </w:tc>
      </w:tr>
      <w:tr w:rsidR="00C01834" w:rsidRPr="00C01834" w:rsidTr="00861D21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C3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651E2C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51E2C">
              <w:rPr>
                <w:color w:val="auto"/>
              </w:rPr>
              <w:t>Poszerzenie wiedzy i umiejętności w zakresie doboru odpowiednich metod diagnostycznych i terapeutycznych w onkologicznych stanach zagrożenia życia</w:t>
            </w:r>
          </w:p>
        </w:tc>
      </w:tr>
      <w:tr w:rsidR="00651E2C" w:rsidRPr="00C01834" w:rsidTr="00861D21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51E2C" w:rsidRPr="00C01834" w:rsidRDefault="00651E2C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C4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651E2C" w:rsidRPr="00651E2C" w:rsidRDefault="00781FEE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81FEE">
              <w:rPr>
                <w:color w:val="auto"/>
              </w:rPr>
              <w:t>Zapoznanie z podstawowymi zagadnieniami z zakresu epidemiologii nowotworów</w:t>
            </w:r>
          </w:p>
        </w:tc>
      </w:tr>
    </w:tbl>
    <w:p w:rsidR="00C01834" w:rsidRDefault="00C01834" w:rsidP="00CA3ACF">
      <w:pPr>
        <w:pStyle w:val="Nagwek1"/>
        <w:ind w:left="0" w:firstLine="0"/>
        <w:jc w:val="left"/>
        <w:rPr>
          <w:color w:val="auto"/>
        </w:rPr>
      </w:pPr>
    </w:p>
    <w:p w:rsidR="00D7610C" w:rsidRDefault="00D7610C" w:rsidP="00D7610C"/>
    <w:p w:rsidR="00D7610C" w:rsidRDefault="00D7610C" w:rsidP="00D7610C"/>
    <w:p w:rsidR="00D7610C" w:rsidRDefault="00D7610C" w:rsidP="00D7610C"/>
    <w:p w:rsidR="00D7610C" w:rsidRDefault="00D7610C" w:rsidP="00D7610C"/>
    <w:p w:rsidR="00D7610C" w:rsidRDefault="00D7610C" w:rsidP="00D7610C"/>
    <w:p w:rsidR="00D7610C" w:rsidRPr="00D7610C" w:rsidRDefault="00D7610C" w:rsidP="00D7610C"/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97" w:type="dxa"/>
        </w:tblCellMar>
        <w:tblLook w:val="04A0"/>
      </w:tblPr>
      <w:tblGrid>
        <w:gridCol w:w="1530"/>
        <w:gridCol w:w="8660"/>
      </w:tblGrid>
      <w:tr w:rsidR="00CA3ACF" w:rsidRPr="00C01834" w:rsidTr="00CA3ACF">
        <w:trPr>
          <w:trHeight w:val="701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CA3ACF" w:rsidRPr="00CA3ACF" w:rsidRDefault="00CA3ACF" w:rsidP="00CA3ACF">
            <w:pPr>
              <w:pStyle w:val="Nagwek1"/>
              <w:numPr>
                <w:ilvl w:val="0"/>
                <w:numId w:val="1"/>
              </w:numPr>
              <w:jc w:val="left"/>
              <w:outlineLvl w:val="0"/>
              <w:rPr>
                <w:smallCaps/>
                <w:color w:val="auto"/>
              </w:rPr>
            </w:pPr>
            <w:r w:rsidRPr="00CA3ACF">
              <w:rPr>
                <w:smallCaps/>
                <w:color w:val="auto"/>
              </w:rPr>
              <w:lastRenderedPageBreak/>
              <w:t xml:space="preserve">Standard kształcenia – Szczegółowe efekty uczenia się </w:t>
            </w:r>
          </w:p>
        </w:tc>
      </w:tr>
      <w:tr w:rsidR="00C01834" w:rsidRPr="00C01834" w:rsidTr="001B4491">
        <w:trPr>
          <w:trHeight w:val="1029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1B4491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Symbol</w:t>
            </w:r>
          </w:p>
          <w:p w:rsidR="00C01834" w:rsidRPr="00C01834" w:rsidRDefault="00C01834" w:rsidP="001B4491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i numer efektu uczenia się</w:t>
            </w:r>
          </w:p>
          <w:p w:rsidR="00C01834" w:rsidRPr="00C01834" w:rsidRDefault="00C01834" w:rsidP="001B4491">
            <w:pPr>
              <w:spacing w:after="0" w:line="259" w:lineRule="auto"/>
              <w:ind w:left="116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zgodnie ze standardami uczenia się 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1B4491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Efekty w zakresie</w:t>
            </w:r>
            <w:r w:rsidR="001B4491">
              <w:rPr>
                <w:b/>
                <w:color w:val="auto"/>
              </w:rPr>
              <w:t xml:space="preserve"> </w:t>
            </w:r>
            <w:r w:rsidR="001B4491" w:rsidRPr="00D320E0">
              <w:rPr>
                <w:bCs/>
                <w:i/>
                <w:iCs/>
                <w:color w:val="auto"/>
                <w:sz w:val="16"/>
                <w:szCs w:val="20"/>
              </w:rPr>
              <w:t xml:space="preserve">(zgodnie z załącznikiem do </w:t>
            </w:r>
            <w:r w:rsidR="001B4491">
              <w:rPr>
                <w:bCs/>
                <w:i/>
                <w:iCs/>
                <w:color w:val="auto"/>
                <w:sz w:val="16"/>
                <w:szCs w:val="20"/>
              </w:rPr>
              <w:t>R</w:t>
            </w:r>
            <w:r w:rsidR="001B4491" w:rsidRPr="00D320E0">
              <w:rPr>
                <w:bCs/>
                <w:i/>
                <w:iCs/>
                <w:color w:val="auto"/>
                <w:sz w:val="16"/>
                <w:szCs w:val="20"/>
              </w:rPr>
              <w:t xml:space="preserve">ozporządzenia Ministra NiSW </w:t>
            </w:r>
            <w:r w:rsidR="001B4491">
              <w:rPr>
                <w:bCs/>
                <w:i/>
                <w:iCs/>
                <w:color w:val="auto"/>
                <w:sz w:val="16"/>
                <w:szCs w:val="20"/>
              </w:rPr>
              <w:t xml:space="preserve"> </w:t>
            </w:r>
            <w:r w:rsidR="001B4491" w:rsidRPr="00D320E0">
              <w:rPr>
                <w:bCs/>
                <w:i/>
                <w:iCs/>
                <w:color w:val="auto"/>
                <w:sz w:val="16"/>
                <w:szCs w:val="20"/>
              </w:rPr>
              <w:t>z 26 lipca 2019)</w:t>
            </w:r>
          </w:p>
        </w:tc>
      </w:tr>
      <w:tr w:rsidR="00C01834" w:rsidRPr="00C01834" w:rsidTr="00D773DA">
        <w:trPr>
          <w:trHeight w:val="383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505A50" w:rsidRDefault="00505A50" w:rsidP="00D773DA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</w:p>
          <w:p w:rsidR="00C01834" w:rsidRDefault="00C01834" w:rsidP="00D773DA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Wiedzy – Absolwent</w:t>
            </w:r>
            <w:r w:rsidR="00B8221A">
              <w:rPr>
                <w:b/>
                <w:color w:val="auto"/>
              </w:rPr>
              <w:t>*</w:t>
            </w:r>
            <w:r w:rsidRPr="00C01834">
              <w:rPr>
                <w:b/>
                <w:color w:val="auto"/>
              </w:rPr>
              <w:t xml:space="preserve"> zna i rozumie:</w:t>
            </w:r>
          </w:p>
          <w:p w:rsidR="00505A50" w:rsidRPr="00C01834" w:rsidRDefault="00505A50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750DE5" w:rsidRPr="00C01834" w:rsidTr="0037224C">
        <w:trPr>
          <w:trHeight w:val="578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4" w:space="0" w:color="auto"/>
              <w:right w:val="single" w:sz="6" w:space="0" w:color="AAAAAA"/>
            </w:tcBorders>
          </w:tcPr>
          <w:p w:rsidR="00750DE5" w:rsidRPr="00C01834" w:rsidRDefault="006E6CDB" w:rsidP="00750DE5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 w:rsidRPr="006E6CDB">
              <w:rPr>
                <w:color w:val="auto"/>
              </w:rPr>
              <w:t>C.W14.</w:t>
            </w:r>
            <w:r w:rsidRPr="006E6CDB">
              <w:rPr>
                <w:color w:val="auto"/>
              </w:rPr>
              <w:tab/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DB" w:rsidRPr="006E6CDB" w:rsidRDefault="006E6CDB" w:rsidP="006E6CDB">
            <w:pPr>
              <w:spacing w:after="0" w:line="240" w:lineRule="auto"/>
              <w:ind w:left="0" w:firstLine="0"/>
              <w:rPr>
                <w:color w:val="auto"/>
              </w:rPr>
            </w:pPr>
            <w:r w:rsidRPr="006E6CDB">
              <w:rPr>
                <w:color w:val="auto"/>
              </w:rPr>
              <w:t>uwarunkowania środowiskowe i epidemiologiczne najczęstszych nowotworów</w:t>
            </w:r>
          </w:p>
          <w:p w:rsidR="00852FDA" w:rsidRPr="00502212" w:rsidRDefault="00852FDA" w:rsidP="006E6CDB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6E6CDB" w:rsidRPr="00C01834" w:rsidTr="0037224C">
        <w:trPr>
          <w:trHeight w:val="578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4" w:space="0" w:color="auto"/>
              <w:right w:val="single" w:sz="6" w:space="0" w:color="AAAAAA"/>
            </w:tcBorders>
          </w:tcPr>
          <w:p w:rsidR="006E6CDB" w:rsidRPr="00C01834" w:rsidRDefault="006E6CDB" w:rsidP="00750DE5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 w:rsidRPr="006E6CDB">
              <w:rPr>
                <w:color w:val="auto"/>
              </w:rPr>
              <w:t>C.W23.</w:t>
            </w:r>
            <w:r w:rsidRPr="006E6CDB">
              <w:rPr>
                <w:color w:val="auto"/>
              </w:rPr>
              <w:tab/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DB" w:rsidRPr="006E6CDB" w:rsidRDefault="006E6CDB" w:rsidP="006775F9">
            <w:pPr>
              <w:spacing w:after="0" w:line="240" w:lineRule="auto"/>
              <w:ind w:left="0" w:firstLine="0"/>
              <w:rPr>
                <w:color w:val="auto"/>
              </w:rPr>
            </w:pPr>
            <w:r w:rsidRPr="006E6CDB">
              <w:rPr>
                <w:color w:val="auto"/>
              </w:rPr>
              <w:t>stany nagłego zagrożenia zdrowotnego w chorobach nowotworowych i hematologicznych, zaburzeniach układu krzepnięcia, zespole wykrzepiania wewnątrznaczyniowego i ostrej białaczce oraz zasady postępowania przedszpitalnego w tych stanach;</w:t>
            </w:r>
          </w:p>
        </w:tc>
      </w:tr>
      <w:tr w:rsidR="006E6CDB" w:rsidRPr="00C01834" w:rsidTr="0037224C">
        <w:trPr>
          <w:trHeight w:val="578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4" w:space="0" w:color="auto"/>
              <w:right w:val="single" w:sz="6" w:space="0" w:color="AAAAAA"/>
            </w:tcBorders>
          </w:tcPr>
          <w:p w:rsidR="006E6CDB" w:rsidRPr="00C01834" w:rsidRDefault="006E6CDB" w:rsidP="00750DE5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 w:rsidRPr="006E6CDB">
              <w:rPr>
                <w:color w:val="auto"/>
              </w:rPr>
              <w:t>C.W8</w:t>
            </w:r>
            <w:r w:rsidR="009953CA">
              <w:rPr>
                <w:color w:val="auto"/>
              </w:rPr>
              <w:t>1</w:t>
            </w:r>
            <w:r w:rsidRPr="006E6CDB">
              <w:rPr>
                <w:color w:val="auto"/>
              </w:rPr>
              <w:t>.</w:t>
            </w:r>
            <w:r w:rsidRPr="006E6CDB">
              <w:rPr>
                <w:color w:val="auto"/>
              </w:rPr>
              <w:tab/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DB" w:rsidRPr="006E6CDB" w:rsidRDefault="009953CA" w:rsidP="006775F9">
            <w:pPr>
              <w:spacing w:after="0" w:line="240" w:lineRule="auto"/>
              <w:ind w:left="0" w:firstLine="0"/>
              <w:rPr>
                <w:color w:val="auto"/>
              </w:rPr>
            </w:pPr>
            <w:r w:rsidRPr="009953CA">
              <w:rPr>
                <w:color w:val="auto"/>
              </w:rPr>
              <w:t>stany zagrożenia w chorobach nowotworowych oraz postępowanie przedszpitalne i w SOR w przypadku takich zagrożeń</w:t>
            </w:r>
            <w:r>
              <w:rPr>
                <w:color w:val="auto"/>
              </w:rPr>
              <w:t>;</w:t>
            </w:r>
          </w:p>
        </w:tc>
      </w:tr>
      <w:tr w:rsidR="00B344D3" w:rsidRPr="00C01834" w:rsidTr="00625A43">
        <w:trPr>
          <w:trHeight w:val="383"/>
        </w:trPr>
        <w:tc>
          <w:tcPr>
            <w:tcW w:w="10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3" w:rsidRPr="00C01834" w:rsidRDefault="00B344D3" w:rsidP="00B344D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Umiejętności – Absolwent</w:t>
            </w:r>
            <w:r>
              <w:rPr>
                <w:b/>
                <w:color w:val="auto"/>
              </w:rPr>
              <w:t>*</w:t>
            </w:r>
            <w:r w:rsidRPr="00C01834">
              <w:rPr>
                <w:b/>
                <w:color w:val="auto"/>
              </w:rPr>
              <w:t xml:space="preserve"> potrafi:</w:t>
            </w:r>
          </w:p>
        </w:tc>
      </w:tr>
      <w:tr w:rsidR="00B344D3" w:rsidRPr="00C01834" w:rsidTr="0037224C">
        <w:trPr>
          <w:trHeight w:val="38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3" w:rsidRPr="00C01834" w:rsidRDefault="00BE7242" w:rsidP="00B344D3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C.U7.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D3" w:rsidRPr="00C01834" w:rsidRDefault="00BE7242" w:rsidP="00F47BF2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E7242">
              <w:rPr>
                <w:color w:val="auto"/>
              </w:rPr>
              <w:t>przeprowadzać wywiad medyczny z pacjentem dorosłym w zakresie niezbędnym do podjęcia medycznych czynności ratunkowych;</w:t>
            </w:r>
          </w:p>
        </w:tc>
      </w:tr>
    </w:tbl>
    <w:p w:rsidR="00C01834" w:rsidRPr="00B8221A" w:rsidRDefault="00B8221A" w:rsidP="00B8221A">
      <w:pPr>
        <w:spacing w:after="11" w:line="259" w:lineRule="auto"/>
        <w:rPr>
          <w:bCs/>
          <w:i/>
          <w:iCs/>
          <w:color w:val="auto"/>
          <w:sz w:val="16"/>
          <w:szCs w:val="14"/>
        </w:rPr>
      </w:pPr>
      <w:r w:rsidRPr="00B8221A">
        <w:rPr>
          <w:bCs/>
          <w:i/>
          <w:iCs/>
          <w:color w:val="auto"/>
          <w:sz w:val="16"/>
          <w:szCs w:val="14"/>
        </w:rPr>
        <w:t>*W załącznikach do Rozporządzenia Ministra NiSW z 26 lipca 2019 wspomina się o „absolwencie”, a nie studencie</w:t>
      </w:r>
    </w:p>
    <w:p w:rsidR="00B8221A" w:rsidRDefault="00B8221A" w:rsidP="00CA3ACF">
      <w:pPr>
        <w:spacing w:after="11" w:line="259" w:lineRule="auto"/>
        <w:ind w:left="0" w:firstLine="0"/>
        <w:rPr>
          <w:bCs/>
          <w:i/>
          <w:iCs/>
          <w:color w:val="auto"/>
          <w:sz w:val="16"/>
          <w:szCs w:val="14"/>
        </w:rPr>
      </w:pPr>
    </w:p>
    <w:p w:rsidR="00866F85" w:rsidRDefault="00866F85" w:rsidP="00CA3ACF">
      <w:pPr>
        <w:spacing w:after="11" w:line="259" w:lineRule="auto"/>
        <w:ind w:left="0" w:firstLine="0"/>
        <w:rPr>
          <w:bCs/>
          <w:i/>
          <w:iCs/>
          <w:color w:val="auto"/>
          <w:sz w:val="16"/>
          <w:szCs w:val="14"/>
        </w:rPr>
      </w:pPr>
    </w:p>
    <w:p w:rsidR="00866F85" w:rsidRDefault="00866F85" w:rsidP="00CA3ACF">
      <w:pPr>
        <w:spacing w:after="11" w:line="259" w:lineRule="auto"/>
        <w:ind w:left="0" w:firstLine="0"/>
        <w:rPr>
          <w:bCs/>
          <w:i/>
          <w:iCs/>
          <w:color w:val="auto"/>
          <w:sz w:val="16"/>
          <w:szCs w:val="14"/>
        </w:rPr>
      </w:pPr>
    </w:p>
    <w:p w:rsidR="00866F85" w:rsidRPr="00CA3ACF" w:rsidRDefault="00866F85" w:rsidP="00CA3ACF">
      <w:pPr>
        <w:spacing w:after="11" w:line="259" w:lineRule="auto"/>
        <w:ind w:left="0" w:firstLine="0"/>
        <w:rPr>
          <w:bCs/>
          <w:i/>
          <w:iCs/>
          <w:color w:val="auto"/>
          <w:sz w:val="16"/>
          <w:szCs w:val="1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97" w:type="dxa"/>
        </w:tblCellMar>
        <w:tblLook w:val="04A0"/>
      </w:tblPr>
      <w:tblGrid>
        <w:gridCol w:w="1530"/>
        <w:gridCol w:w="8660"/>
      </w:tblGrid>
      <w:tr w:rsidR="00CA3ACF" w:rsidRPr="00C01834" w:rsidTr="00900EC6">
        <w:trPr>
          <w:trHeight w:val="509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CA3ACF" w:rsidRPr="00CA3ACF" w:rsidRDefault="00CA3ACF" w:rsidP="00CA3ACF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color w:val="auto"/>
              </w:rPr>
            </w:pPr>
            <w:r w:rsidRPr="00CA3ACF">
              <w:rPr>
                <w:b/>
                <w:smallCaps/>
                <w:color w:val="auto"/>
                <w:sz w:val="24"/>
              </w:rPr>
              <w:t>Pozostałe efekty uczenia się</w:t>
            </w:r>
            <w:r w:rsidRPr="00CA3ACF">
              <w:rPr>
                <w:b/>
                <w:color w:val="auto"/>
                <w:sz w:val="24"/>
              </w:rPr>
              <w:t xml:space="preserve"> </w:t>
            </w:r>
          </w:p>
        </w:tc>
      </w:tr>
      <w:tr w:rsidR="00C01834" w:rsidRPr="00C01834" w:rsidTr="001B4491">
        <w:trPr>
          <w:trHeight w:val="77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1B4491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Numer efektu uczenia się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1B4491" w:rsidRPr="001B4491" w:rsidRDefault="001B4491" w:rsidP="001B4491">
            <w:pPr>
              <w:spacing w:after="0" w:line="259" w:lineRule="auto"/>
              <w:ind w:left="0" w:firstLine="0"/>
              <w:rPr>
                <w:b/>
                <w:color w:val="A6A6A6" w:themeColor="background1" w:themeShade="A6"/>
              </w:rPr>
            </w:pPr>
            <w:r w:rsidRPr="001B4491">
              <w:rPr>
                <w:bCs/>
                <w:i/>
                <w:iCs/>
                <w:color w:val="A6A6A6" w:themeColor="background1" w:themeShade="A6"/>
                <w:sz w:val="16"/>
                <w:szCs w:val="14"/>
              </w:rPr>
              <w:t>(pole nieobowiązkowe)</w:t>
            </w:r>
          </w:p>
          <w:p w:rsidR="00C01834" w:rsidRPr="00C01834" w:rsidRDefault="00C01834" w:rsidP="001B4491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Efekty w zakresie</w:t>
            </w:r>
          </w:p>
        </w:tc>
      </w:tr>
      <w:tr w:rsidR="00C01834" w:rsidRPr="00C01834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064BF9" w:rsidRDefault="00064BF9" w:rsidP="00D773DA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</w:p>
          <w:p w:rsidR="00C01834" w:rsidRDefault="00C01834" w:rsidP="00D773DA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Wiedzy – Absolwent zna i rozumie:</w:t>
            </w:r>
          </w:p>
          <w:p w:rsidR="00064BF9" w:rsidRPr="00C01834" w:rsidRDefault="00064BF9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W1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AD4C7E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D4C7E">
              <w:rPr>
                <w:color w:val="auto"/>
              </w:rPr>
              <w:t>skale oceny bólu i możliwości wdrożenia leczenia przeciwbólowego przez ratownika medycznego</w:t>
            </w:r>
            <w:r w:rsidR="00475E7A">
              <w:rPr>
                <w:color w:val="auto"/>
              </w:rPr>
              <w:t>;</w:t>
            </w:r>
          </w:p>
        </w:tc>
      </w:tr>
      <w:tr w:rsidR="00C01834" w:rsidRPr="00C01834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Umiejętności – Absolwent potrafi:</w:t>
            </w:r>
          </w:p>
        </w:tc>
      </w:tr>
      <w:tr w:rsidR="00C01834" w:rsidRPr="00C01834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01834" w:rsidRPr="00C01834" w:rsidRDefault="00C01834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U1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D003F3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D003F3">
              <w:rPr>
                <w:color w:val="auto"/>
              </w:rPr>
              <w:t>oceniać stopień nasilenia bólu według znanych skal</w:t>
            </w:r>
            <w:r w:rsidR="00475E7A">
              <w:rPr>
                <w:color w:val="auto"/>
              </w:rPr>
              <w:t>;</w:t>
            </w:r>
          </w:p>
        </w:tc>
      </w:tr>
      <w:tr w:rsidR="00C01834" w:rsidRPr="00C01834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C01834" w:rsidRPr="00C01834" w:rsidRDefault="00C01834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U2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01834" w:rsidRPr="00C01834" w:rsidRDefault="00667A8C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67A8C">
              <w:rPr>
                <w:color w:val="auto"/>
              </w:rPr>
              <w:t>oceniać stan pacjenta w celu ustalenia sposobu postępowania ratunkowego</w:t>
            </w:r>
            <w:r w:rsidR="00475E7A">
              <w:rPr>
                <w:color w:val="auto"/>
              </w:rPr>
              <w:t>;</w:t>
            </w:r>
          </w:p>
        </w:tc>
      </w:tr>
      <w:tr w:rsidR="00C01834" w:rsidRPr="00C01834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Kompetencji społecznych – Absolwent jest gotów do:</w:t>
            </w:r>
          </w:p>
        </w:tc>
      </w:tr>
      <w:tr w:rsidR="00DE5363" w:rsidRPr="00C01834" w:rsidTr="00475E7A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DE5363" w:rsidRPr="00D51D7E" w:rsidRDefault="0001205E" w:rsidP="00DE5363">
            <w:pPr>
              <w:spacing w:after="0" w:line="259" w:lineRule="auto"/>
              <w:ind w:left="33" w:firstLine="0"/>
              <w:jc w:val="center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D51D7E">
              <w:rPr>
                <w:rFonts w:asciiTheme="minorHAnsi" w:hAnsiTheme="minorHAnsi" w:cstheme="minorHAnsi"/>
                <w:color w:val="auto"/>
                <w:szCs w:val="18"/>
              </w:rPr>
              <w:t>RM1.K.05</w:t>
            </w:r>
          </w:p>
        </w:tc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5363" w:rsidRPr="00DD2695" w:rsidRDefault="00475E7A" w:rsidP="0043544E">
            <w:p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szCs w:val="18"/>
              </w:rPr>
            </w:pPr>
            <w:r w:rsidRPr="00475E7A">
              <w:rPr>
                <w:rFonts w:asciiTheme="majorHAnsi" w:eastAsia="Times New Roman" w:hAnsiTheme="majorHAnsi" w:cstheme="majorHAnsi"/>
                <w:szCs w:val="18"/>
              </w:rPr>
              <w:t>dostrzegania i rozpoznawania własnych ograniczeń, dokonywania samooceny deficytów i potrzeb edukacyjnych;</w:t>
            </w:r>
          </w:p>
        </w:tc>
      </w:tr>
    </w:tbl>
    <w:p w:rsidR="0029330A" w:rsidRDefault="0029330A" w:rsidP="00C01834">
      <w:pPr>
        <w:spacing w:after="11" w:line="259" w:lineRule="auto"/>
        <w:ind w:left="0" w:firstLine="0"/>
        <w:jc w:val="center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/>
      </w:tblPr>
      <w:tblGrid>
        <w:gridCol w:w="2252"/>
        <w:gridCol w:w="5387"/>
        <w:gridCol w:w="2551"/>
      </w:tblGrid>
      <w:tr w:rsidR="00CA3ACF" w:rsidRPr="00C01834" w:rsidTr="009A30E1">
        <w:trPr>
          <w:trHeight w:val="26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CA3ACF" w:rsidRPr="00CA3ACF" w:rsidRDefault="00CA3ACF" w:rsidP="00CA3AC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235"/>
              <w:rPr>
                <w:b/>
                <w:smallCaps/>
                <w:color w:val="auto"/>
              </w:rPr>
            </w:pPr>
            <w:bookmarkStart w:id="0" w:name="_Hlk33527891"/>
            <w:r w:rsidRPr="00CA3ACF">
              <w:rPr>
                <w:b/>
                <w:smallCaps/>
                <w:color w:val="auto"/>
                <w:sz w:val="24"/>
              </w:rPr>
              <w:lastRenderedPageBreak/>
              <w:t>Zajęcia</w:t>
            </w:r>
          </w:p>
        </w:tc>
      </w:tr>
      <w:tr w:rsidR="00A3096F" w:rsidRPr="00C01834" w:rsidTr="00A3096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A3096F" w:rsidRPr="00C01834" w:rsidRDefault="00A3096F" w:rsidP="00D773DA">
            <w:pPr>
              <w:spacing w:after="0" w:line="259" w:lineRule="auto"/>
              <w:ind w:left="5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Forma zajęć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A3096F" w:rsidRPr="00C01834" w:rsidRDefault="00A3096F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Treści programowe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3096F" w:rsidRPr="00C01834" w:rsidRDefault="00A3096F" w:rsidP="00A3096F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Efekty uczenia się</w:t>
            </w:r>
          </w:p>
        </w:tc>
      </w:tr>
      <w:tr w:rsidR="00A3096F" w:rsidRPr="00C01834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A3096F" w:rsidRPr="00C01834" w:rsidRDefault="00CA1674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s</w:t>
            </w:r>
            <w:r w:rsidR="00D84127" w:rsidRPr="00D84127">
              <w:rPr>
                <w:color w:val="auto"/>
              </w:rPr>
              <w:t>eminarium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2D0347" w:rsidRPr="002D0347" w:rsidRDefault="002D0347" w:rsidP="002D0347">
            <w:pPr>
              <w:numPr>
                <w:ilvl w:val="0"/>
                <w:numId w:val="4"/>
              </w:numPr>
              <w:spacing w:after="0" w:line="259" w:lineRule="auto"/>
              <w:rPr>
                <w:color w:val="auto"/>
              </w:rPr>
            </w:pPr>
            <w:r w:rsidRPr="002D0347">
              <w:rPr>
                <w:color w:val="auto"/>
              </w:rPr>
              <w:t>Wstęp do biologii nowotworów. Powstawanie i epidemiologia nowotworów. Środowiskowe i genetyczne uwarunkowania rozwoju nowotworów.</w:t>
            </w:r>
          </w:p>
          <w:p w:rsidR="002D0347" w:rsidRPr="002D0347" w:rsidRDefault="002D0347" w:rsidP="002D0347">
            <w:pPr>
              <w:numPr>
                <w:ilvl w:val="0"/>
                <w:numId w:val="4"/>
              </w:numPr>
              <w:spacing w:after="0" w:line="259" w:lineRule="auto"/>
              <w:rPr>
                <w:color w:val="auto"/>
              </w:rPr>
            </w:pPr>
            <w:r w:rsidRPr="002D0347">
              <w:rPr>
                <w:color w:val="auto"/>
              </w:rPr>
              <w:t>Ból u chorych na nowotwór.</w:t>
            </w:r>
          </w:p>
          <w:p w:rsidR="002D0347" w:rsidRPr="002D0347" w:rsidRDefault="002D0347" w:rsidP="002D0347">
            <w:pPr>
              <w:numPr>
                <w:ilvl w:val="0"/>
                <w:numId w:val="4"/>
              </w:numPr>
              <w:spacing w:after="0" w:line="259" w:lineRule="auto"/>
              <w:rPr>
                <w:color w:val="auto"/>
              </w:rPr>
            </w:pPr>
            <w:r w:rsidRPr="002D0347">
              <w:rPr>
                <w:color w:val="auto"/>
              </w:rPr>
              <w:t>Powikłania leczenia przeciwnowotworowego – od rozpoznania do postępowania:</w:t>
            </w:r>
            <w:r w:rsidRPr="002D0347">
              <w:rPr>
                <w:color w:val="auto"/>
              </w:rPr>
              <w:br/>
              <w:t>- wynaczynienie cytostatyków,</w:t>
            </w:r>
            <w:r w:rsidRPr="002D0347">
              <w:rPr>
                <w:color w:val="auto"/>
              </w:rPr>
              <w:br/>
              <w:t>- odczyny popromienne,</w:t>
            </w:r>
            <w:r w:rsidRPr="002D0347">
              <w:rPr>
                <w:color w:val="auto"/>
              </w:rPr>
              <w:br/>
              <w:t>- gorączka neutropeniczna,</w:t>
            </w:r>
            <w:r w:rsidRPr="002D0347">
              <w:rPr>
                <w:color w:val="auto"/>
              </w:rPr>
              <w:br/>
              <w:t>- zespół rozpadu nowotworu,</w:t>
            </w:r>
          </w:p>
          <w:p w:rsidR="002D0347" w:rsidRPr="002D0347" w:rsidRDefault="002D0347" w:rsidP="002D0347">
            <w:pPr>
              <w:numPr>
                <w:ilvl w:val="0"/>
                <w:numId w:val="4"/>
              </w:numPr>
              <w:spacing w:after="0" w:line="259" w:lineRule="auto"/>
              <w:rPr>
                <w:color w:val="auto"/>
              </w:rPr>
            </w:pPr>
            <w:r w:rsidRPr="002D0347">
              <w:rPr>
                <w:color w:val="auto"/>
              </w:rPr>
              <w:t>Stany zagrożenia życia w onkologii</w:t>
            </w:r>
            <w:r w:rsidR="00CB1D0A">
              <w:rPr>
                <w:color w:val="auto"/>
              </w:rPr>
              <w:t xml:space="preserve"> i hematologii</w:t>
            </w:r>
            <w:r w:rsidRPr="002D0347">
              <w:rPr>
                <w:color w:val="auto"/>
              </w:rPr>
              <w:t>:</w:t>
            </w:r>
            <w:r w:rsidRPr="002D0347">
              <w:rPr>
                <w:color w:val="auto"/>
              </w:rPr>
              <w:br/>
              <w:t>- zatorowość płucna,</w:t>
            </w:r>
            <w:r w:rsidRPr="002D0347">
              <w:rPr>
                <w:color w:val="auto"/>
              </w:rPr>
              <w:br/>
              <w:t>- hiperkalcemia,</w:t>
            </w:r>
            <w:r w:rsidRPr="002D0347">
              <w:rPr>
                <w:color w:val="auto"/>
              </w:rPr>
              <w:br/>
              <w:t xml:space="preserve">- zespół SIADH, </w:t>
            </w:r>
            <w:r w:rsidRPr="002D0347">
              <w:rPr>
                <w:color w:val="auto"/>
              </w:rPr>
              <w:br/>
              <w:t>- hipoglikemia,</w:t>
            </w:r>
            <w:r w:rsidRPr="002D0347">
              <w:rPr>
                <w:color w:val="auto"/>
              </w:rPr>
              <w:br/>
              <w:t>- kwasica mleczanowa,</w:t>
            </w:r>
            <w:r w:rsidRPr="002D0347">
              <w:rPr>
                <w:color w:val="auto"/>
              </w:rPr>
              <w:br/>
              <w:t>- zespół żyły głównej górnej,</w:t>
            </w:r>
            <w:r w:rsidRPr="002D0347">
              <w:rPr>
                <w:color w:val="auto"/>
              </w:rPr>
              <w:br/>
              <w:t>- zespół wzmożonego ciśnienia wewnątrzczaszkowego,</w:t>
            </w:r>
            <w:r w:rsidRPr="002D0347">
              <w:rPr>
                <w:color w:val="auto"/>
              </w:rPr>
              <w:br/>
              <w:t>- zespół ucisku rdzenia kręgowego,</w:t>
            </w:r>
            <w:r w:rsidRPr="002D0347">
              <w:rPr>
                <w:color w:val="auto"/>
              </w:rPr>
              <w:br/>
              <w:t>- zespół DIC,</w:t>
            </w:r>
            <w:r w:rsidRPr="002D0347">
              <w:rPr>
                <w:color w:val="auto"/>
              </w:rPr>
              <w:br/>
              <w:t>- zespół hemolityczno-mocznicowy / zakrzepowa plamica małopłytkowa</w:t>
            </w:r>
            <w:r w:rsidRPr="002D0347">
              <w:rPr>
                <w:color w:val="auto"/>
              </w:rPr>
              <w:br/>
              <w:t>- zespół hemofagocytowy,</w:t>
            </w:r>
          </w:p>
          <w:p w:rsidR="002D0347" w:rsidRPr="002D0347" w:rsidRDefault="002D0347" w:rsidP="002D0347">
            <w:pPr>
              <w:numPr>
                <w:ilvl w:val="0"/>
                <w:numId w:val="4"/>
              </w:numPr>
              <w:spacing w:after="0" w:line="259" w:lineRule="auto"/>
              <w:rPr>
                <w:color w:val="auto"/>
              </w:rPr>
            </w:pPr>
            <w:r w:rsidRPr="002D0347">
              <w:rPr>
                <w:color w:val="auto"/>
              </w:rPr>
              <w:t xml:space="preserve">Leczenie wspomagające. Rozpoznanie i zwalczanie niekorzystnych skutków terapii onkologicznej. </w:t>
            </w:r>
          </w:p>
          <w:p w:rsidR="002D0347" w:rsidRDefault="002D0347" w:rsidP="002D0347">
            <w:pPr>
              <w:numPr>
                <w:ilvl w:val="0"/>
                <w:numId w:val="4"/>
              </w:numPr>
              <w:spacing w:after="0" w:line="259" w:lineRule="auto"/>
              <w:rPr>
                <w:color w:val="auto"/>
              </w:rPr>
            </w:pPr>
            <w:r w:rsidRPr="002D0347">
              <w:rPr>
                <w:color w:val="auto"/>
              </w:rPr>
              <w:t>Podstawy opieki paliatywnej nad chorymi na nowotwory. Zespół wyniszczenia nowotworowego. Ocena stanu odżywienia pacjenta onkologicznego. Zagrożenia życia będące powikłaniami leczenia żywieniowego w onkologii.</w:t>
            </w:r>
          </w:p>
          <w:p w:rsidR="00F44409" w:rsidRDefault="002D0347" w:rsidP="002D0347">
            <w:pPr>
              <w:numPr>
                <w:ilvl w:val="0"/>
                <w:numId w:val="4"/>
              </w:numPr>
              <w:spacing w:after="0" w:line="259" w:lineRule="auto"/>
              <w:rPr>
                <w:color w:val="auto"/>
              </w:rPr>
            </w:pPr>
            <w:r w:rsidRPr="002D0347">
              <w:rPr>
                <w:color w:val="auto"/>
              </w:rPr>
              <w:t xml:space="preserve">Omówienie przypadków klinicznych. </w:t>
            </w:r>
          </w:p>
          <w:p w:rsidR="00A3096F" w:rsidRPr="00C01834" w:rsidRDefault="002D0347" w:rsidP="002D0347">
            <w:pPr>
              <w:numPr>
                <w:ilvl w:val="0"/>
                <w:numId w:val="4"/>
              </w:numPr>
              <w:spacing w:after="0" w:line="259" w:lineRule="auto"/>
              <w:rPr>
                <w:color w:val="auto"/>
              </w:rPr>
            </w:pPr>
            <w:r w:rsidRPr="002D0347">
              <w:rPr>
                <w:color w:val="auto"/>
              </w:rPr>
              <w:t>Zaliczenie.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94563D" w:rsidRPr="0094563D" w:rsidRDefault="0094563D" w:rsidP="0094563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94563D">
              <w:rPr>
                <w:color w:val="auto"/>
              </w:rPr>
              <w:t>C.W14.</w:t>
            </w:r>
          </w:p>
          <w:p w:rsidR="0094563D" w:rsidRPr="0094563D" w:rsidRDefault="0094563D" w:rsidP="0094563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94563D">
              <w:rPr>
                <w:color w:val="auto"/>
              </w:rPr>
              <w:t>C.W</w:t>
            </w:r>
            <w:r w:rsidR="00EC6008">
              <w:rPr>
                <w:color w:val="auto"/>
              </w:rPr>
              <w:t>.</w:t>
            </w:r>
            <w:r w:rsidRPr="0094563D">
              <w:rPr>
                <w:color w:val="auto"/>
              </w:rPr>
              <w:t>2</w:t>
            </w:r>
            <w:r w:rsidR="00EC6008">
              <w:rPr>
                <w:color w:val="auto"/>
              </w:rPr>
              <w:t>3</w:t>
            </w:r>
            <w:r w:rsidRPr="0094563D">
              <w:rPr>
                <w:color w:val="auto"/>
              </w:rPr>
              <w:t>.</w:t>
            </w:r>
          </w:p>
          <w:p w:rsidR="0094563D" w:rsidRDefault="0094563D" w:rsidP="0094563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94563D">
              <w:rPr>
                <w:color w:val="auto"/>
              </w:rPr>
              <w:t>C.W</w:t>
            </w:r>
            <w:r w:rsidR="00EC6008">
              <w:rPr>
                <w:color w:val="auto"/>
              </w:rPr>
              <w:t>.</w:t>
            </w:r>
            <w:r w:rsidRPr="0094563D">
              <w:rPr>
                <w:color w:val="auto"/>
              </w:rPr>
              <w:t>8</w:t>
            </w:r>
            <w:r w:rsidR="00D51D7E">
              <w:rPr>
                <w:color w:val="auto"/>
              </w:rPr>
              <w:t>1</w:t>
            </w:r>
            <w:r w:rsidRPr="0094563D">
              <w:rPr>
                <w:color w:val="auto"/>
              </w:rPr>
              <w:t>.</w:t>
            </w:r>
          </w:p>
          <w:p w:rsidR="00D51D7E" w:rsidRPr="0094563D" w:rsidRDefault="00D51D7E" w:rsidP="0094563D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C.U7.</w:t>
            </w:r>
          </w:p>
          <w:p w:rsidR="00EC6008" w:rsidRDefault="00EC6008" w:rsidP="0094563D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W1</w:t>
            </w:r>
          </w:p>
          <w:p w:rsidR="00EC6008" w:rsidRDefault="00EC6008" w:rsidP="0094563D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U1</w:t>
            </w:r>
          </w:p>
          <w:p w:rsidR="00EC6008" w:rsidRDefault="00EC6008" w:rsidP="0094563D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U2</w:t>
            </w:r>
          </w:p>
          <w:p w:rsidR="00D51D7E" w:rsidRPr="00C01834" w:rsidRDefault="00D51D7E" w:rsidP="0094563D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RM1.K.05</w:t>
            </w:r>
          </w:p>
        </w:tc>
      </w:tr>
      <w:bookmarkEnd w:id="0"/>
    </w:tbl>
    <w:p w:rsidR="00014630" w:rsidRDefault="00014630" w:rsidP="00E55362">
      <w:pPr>
        <w:pStyle w:val="Nagwek1"/>
        <w:spacing w:after="0"/>
        <w:ind w:left="0" w:firstLine="0"/>
        <w:jc w:val="left"/>
        <w:rPr>
          <w:color w:val="auto"/>
        </w:rPr>
      </w:pPr>
    </w:p>
    <w:p w:rsidR="0062168A" w:rsidRDefault="0062168A" w:rsidP="0062168A"/>
    <w:p w:rsidR="0062168A" w:rsidRPr="0062168A" w:rsidRDefault="0062168A" w:rsidP="0062168A"/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/>
      </w:tblPr>
      <w:tblGrid>
        <w:gridCol w:w="10190"/>
      </w:tblGrid>
      <w:tr w:rsidR="00014630" w:rsidRPr="00C01834" w:rsidTr="009E3ED7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014630" w:rsidRPr="00014630" w:rsidRDefault="00014630" w:rsidP="00014630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235"/>
              <w:rPr>
                <w:b/>
                <w:smallCaps/>
                <w:color w:val="auto"/>
              </w:rPr>
            </w:pPr>
            <w:bookmarkStart w:id="1" w:name="_Hlk33528811"/>
            <w:r w:rsidRPr="00014630">
              <w:rPr>
                <w:b/>
                <w:smallCaps/>
                <w:color w:val="auto"/>
                <w:sz w:val="24"/>
              </w:rPr>
              <w:t>Literatura</w:t>
            </w:r>
          </w:p>
        </w:tc>
      </w:tr>
      <w:tr w:rsidR="00014630" w:rsidRPr="00C01834" w:rsidTr="00AD6D5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014630" w:rsidRPr="00C01834" w:rsidRDefault="00014630" w:rsidP="009E3ED7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Obowiązkowa</w:t>
            </w:r>
          </w:p>
        </w:tc>
      </w:tr>
      <w:bookmarkEnd w:id="1"/>
      <w:tr w:rsidR="00014630" w:rsidRPr="00C01834" w:rsidTr="00527046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02965" w:rsidRDefault="006123B0" w:rsidP="00F02965">
            <w:pPr>
              <w:pStyle w:val="Akapitzlist"/>
              <w:numPr>
                <w:ilvl w:val="0"/>
                <w:numId w:val="5"/>
              </w:numPr>
              <w:spacing w:after="0" w:line="259" w:lineRule="auto"/>
              <w:ind w:right="235"/>
              <w:rPr>
                <w:bCs/>
                <w:color w:val="auto"/>
              </w:rPr>
            </w:pPr>
            <w:r w:rsidRPr="007211D4">
              <w:rPr>
                <w:bCs/>
                <w:color w:val="auto"/>
                <w:lang w:val="en-GB"/>
              </w:rPr>
              <w:t>Stec R.</w:t>
            </w:r>
            <w:r>
              <w:rPr>
                <w:bCs/>
                <w:color w:val="auto"/>
                <w:lang w:val="en-GB"/>
              </w:rPr>
              <w:t>,</w:t>
            </w:r>
            <w:r w:rsidRPr="007211D4">
              <w:rPr>
                <w:bCs/>
                <w:color w:val="auto"/>
                <w:lang w:val="en-GB"/>
              </w:rPr>
              <w:t xml:space="preserve"> Deptała A.</w:t>
            </w:r>
            <w:r>
              <w:rPr>
                <w:bCs/>
                <w:color w:val="auto"/>
                <w:lang w:val="en-GB"/>
              </w:rPr>
              <w:t>,</w:t>
            </w:r>
            <w:r w:rsidRPr="007211D4">
              <w:rPr>
                <w:bCs/>
                <w:color w:val="auto"/>
                <w:lang w:val="en-GB"/>
              </w:rPr>
              <w:t xml:space="preserve"> Smoter M. (red.) </w:t>
            </w:r>
            <w:r w:rsidRPr="007211D4">
              <w:rPr>
                <w:bCs/>
                <w:color w:val="auto"/>
              </w:rPr>
              <w:t>Onkologia: Podręcznik dla studentów medycyny. Pomoc dydaktyczna dla lekarzy specjalizujących się w onkologii. Wydawnictwo AsteriaMed, Gdańsk, 2021.</w:t>
            </w:r>
          </w:p>
          <w:p w:rsidR="00574658" w:rsidRPr="00574658" w:rsidRDefault="006123B0" w:rsidP="00574658">
            <w:pPr>
              <w:pStyle w:val="Akapitzlist"/>
              <w:numPr>
                <w:ilvl w:val="0"/>
                <w:numId w:val="5"/>
              </w:numPr>
              <w:spacing w:after="0" w:line="259" w:lineRule="auto"/>
              <w:ind w:right="235"/>
              <w:rPr>
                <w:bCs/>
                <w:color w:val="auto"/>
              </w:rPr>
            </w:pPr>
            <w:r w:rsidRPr="00F02965">
              <w:rPr>
                <w:bCs/>
                <w:color w:val="auto"/>
              </w:rPr>
              <w:t xml:space="preserve">Gajewski P. (red.) </w:t>
            </w:r>
            <w:r>
              <w:t xml:space="preserve">  </w:t>
            </w:r>
            <w:r w:rsidRPr="00F02965">
              <w:rPr>
                <w:bCs/>
                <w:color w:val="auto"/>
              </w:rPr>
              <w:t>Interna Szczeklika 2024/25. Mały podręcznik. Medycyna Praktyczna, Kraków, 2024 (wybrane zagadnienia).</w:t>
            </w:r>
          </w:p>
        </w:tc>
      </w:tr>
      <w:tr w:rsidR="00014630" w:rsidRPr="00C01834" w:rsidTr="00014630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014630" w:rsidRPr="00014630" w:rsidRDefault="00014630" w:rsidP="009E3ED7">
            <w:pPr>
              <w:spacing w:after="0" w:line="259" w:lineRule="auto"/>
              <w:ind w:left="0" w:right="7996" w:firstLine="0"/>
              <w:rPr>
                <w:b/>
                <w:bCs/>
                <w:color w:val="auto"/>
              </w:rPr>
            </w:pPr>
            <w:r w:rsidRPr="00014630">
              <w:rPr>
                <w:b/>
                <w:bCs/>
                <w:color w:val="auto"/>
              </w:rPr>
              <w:t>Uzupełniająca</w:t>
            </w:r>
          </w:p>
        </w:tc>
      </w:tr>
      <w:tr w:rsidR="00014630" w:rsidRPr="00C01834" w:rsidTr="003524C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574658" w:rsidRPr="001461AE" w:rsidRDefault="00574658" w:rsidP="001461AE">
            <w:pPr>
              <w:spacing w:after="0" w:line="259" w:lineRule="auto"/>
              <w:ind w:left="0" w:right="7996" w:firstLine="0"/>
              <w:rPr>
                <w:color w:val="auto"/>
              </w:rPr>
            </w:pPr>
          </w:p>
        </w:tc>
      </w:tr>
    </w:tbl>
    <w:p w:rsidR="00C01834" w:rsidRPr="00E55362" w:rsidRDefault="00C01834" w:rsidP="00E55362">
      <w:pPr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/>
      </w:tblPr>
      <w:tblGrid>
        <w:gridCol w:w="1827"/>
        <w:gridCol w:w="5812"/>
        <w:gridCol w:w="2551"/>
      </w:tblGrid>
      <w:tr w:rsidR="00CA3ACF" w:rsidRPr="00C01834" w:rsidTr="00900EC6">
        <w:trPr>
          <w:trHeight w:val="38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A3ACF" w:rsidRPr="00014630" w:rsidRDefault="00CA3ACF" w:rsidP="00014630">
            <w:pPr>
              <w:pStyle w:val="Nagwek1"/>
              <w:numPr>
                <w:ilvl w:val="0"/>
                <w:numId w:val="1"/>
              </w:numPr>
              <w:spacing w:after="241"/>
              <w:jc w:val="left"/>
              <w:outlineLvl w:val="0"/>
              <w:rPr>
                <w:smallCaps/>
                <w:color w:val="auto"/>
              </w:rPr>
            </w:pPr>
            <w:r w:rsidRPr="00014630">
              <w:rPr>
                <w:smallCaps/>
                <w:color w:val="auto"/>
              </w:rPr>
              <w:lastRenderedPageBreak/>
              <w:t>Sposoby weryfikacji efektów uczenia się</w:t>
            </w:r>
          </w:p>
        </w:tc>
      </w:tr>
      <w:tr w:rsidR="00A3096F" w:rsidRPr="00C01834" w:rsidTr="00CA3ACF">
        <w:trPr>
          <w:trHeight w:val="597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3096F" w:rsidRPr="00C01834" w:rsidRDefault="00A42ACC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S</w:t>
            </w:r>
            <w:r w:rsidR="00A3096F" w:rsidRPr="00C01834">
              <w:rPr>
                <w:b/>
                <w:color w:val="auto"/>
              </w:rPr>
              <w:t>ymbol przedmiotowego efektu uczenia się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3096F" w:rsidRPr="00C01834" w:rsidRDefault="00A3096F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Sposoby weryfikacji efektu </w:t>
            </w:r>
            <w:r w:rsidR="00CA3ACF">
              <w:rPr>
                <w:b/>
                <w:color w:val="auto"/>
              </w:rPr>
              <w:t>uczenia się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A3096F" w:rsidRPr="00C01834" w:rsidRDefault="00A3096F" w:rsidP="00D773DA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Kryterium zaliczenia</w:t>
            </w:r>
          </w:p>
        </w:tc>
      </w:tr>
      <w:tr w:rsidR="00A3096F" w:rsidRPr="00C01834" w:rsidTr="00CA3ACF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A3096F" w:rsidRPr="00AD2F54" w:rsidRDefault="00A3096F" w:rsidP="00D773DA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  <w:r w:rsidRPr="00AD2F54">
              <w:rPr>
                <w:i/>
                <w:iCs/>
                <w:color w:val="auto"/>
                <w:sz w:val="16"/>
                <w:szCs w:val="20"/>
              </w:rPr>
              <w:t>Np. A.W1, A.U1, K1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A3096F" w:rsidRPr="00AD2F54" w:rsidRDefault="00A3096F" w:rsidP="00D773DA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  <w:r w:rsidRPr="00AD2F54">
              <w:rPr>
                <w:i/>
                <w:iCs/>
                <w:color w:val="auto"/>
                <w:sz w:val="16"/>
                <w:szCs w:val="20"/>
              </w:rPr>
              <w:t>Pole definiuje metody wykorzystywane do oceniania studentów, np. kartkówka, kolokwium, raport z ćwiczeń itp.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A3096F" w:rsidRPr="00AD2F54" w:rsidRDefault="00A3096F" w:rsidP="00D773DA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  <w:r w:rsidRPr="00AD2F54">
              <w:rPr>
                <w:i/>
                <w:iCs/>
                <w:color w:val="auto"/>
                <w:sz w:val="16"/>
                <w:szCs w:val="20"/>
              </w:rPr>
              <w:t>Np. próg zaliczeniowy</w:t>
            </w:r>
          </w:p>
        </w:tc>
      </w:tr>
      <w:tr w:rsidR="00A3096F" w:rsidRPr="00C01834" w:rsidTr="00CA3ACF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0C7439" w:rsidRPr="000C7439" w:rsidRDefault="000C7439" w:rsidP="000C743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C7439">
              <w:rPr>
                <w:color w:val="auto"/>
              </w:rPr>
              <w:t>C.W14.</w:t>
            </w:r>
          </w:p>
          <w:p w:rsidR="000C7439" w:rsidRPr="000C7439" w:rsidRDefault="000C7439" w:rsidP="000C743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C7439">
              <w:rPr>
                <w:color w:val="auto"/>
              </w:rPr>
              <w:t>C.W.23.</w:t>
            </w:r>
          </w:p>
          <w:p w:rsidR="000C7439" w:rsidRPr="000C7439" w:rsidRDefault="000C7439" w:rsidP="000C743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C7439">
              <w:rPr>
                <w:color w:val="auto"/>
              </w:rPr>
              <w:t>C.W.81.</w:t>
            </w:r>
          </w:p>
          <w:p w:rsidR="000C7439" w:rsidRPr="000C7439" w:rsidRDefault="000C7439" w:rsidP="000C743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C7439">
              <w:rPr>
                <w:color w:val="auto"/>
              </w:rPr>
              <w:t>C.U7.</w:t>
            </w:r>
          </w:p>
          <w:p w:rsidR="000C7439" w:rsidRPr="000C7439" w:rsidRDefault="000C7439" w:rsidP="000C743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C7439">
              <w:rPr>
                <w:color w:val="auto"/>
              </w:rPr>
              <w:t>W1</w:t>
            </w:r>
          </w:p>
          <w:p w:rsidR="000C7439" w:rsidRPr="000C7439" w:rsidRDefault="000C7439" w:rsidP="000C743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C7439">
              <w:rPr>
                <w:color w:val="auto"/>
              </w:rPr>
              <w:t>U1</w:t>
            </w:r>
          </w:p>
          <w:p w:rsidR="000C7439" w:rsidRPr="000C7439" w:rsidRDefault="000C7439" w:rsidP="000C743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C7439">
              <w:rPr>
                <w:color w:val="auto"/>
              </w:rPr>
              <w:t>U2</w:t>
            </w:r>
          </w:p>
          <w:p w:rsidR="00C66DB4" w:rsidRPr="00C01834" w:rsidRDefault="000C7439" w:rsidP="000C743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C7439">
              <w:rPr>
                <w:color w:val="auto"/>
              </w:rPr>
              <w:t>RM1.K.05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4B6803" w:rsidRDefault="004B6803" w:rsidP="004B680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B6FFB">
              <w:rPr>
                <w:color w:val="auto"/>
              </w:rPr>
              <w:t>Zakres zdobyt</w:t>
            </w:r>
            <w:r>
              <w:rPr>
                <w:color w:val="auto"/>
              </w:rPr>
              <w:t>ej wiedzy i</w:t>
            </w:r>
            <w:r w:rsidRPr="002B6FFB">
              <w:rPr>
                <w:color w:val="auto"/>
              </w:rPr>
              <w:t xml:space="preserve"> umiejętności weryfikowany będzie poprzez ocenę realizacji powierzonych zadań – analizy przypadków medycznych,</w:t>
            </w:r>
            <w:r>
              <w:rPr>
                <w:color w:val="auto"/>
              </w:rPr>
              <w:t xml:space="preserve"> </w:t>
            </w:r>
            <w:r w:rsidRPr="002B6FFB">
              <w:rPr>
                <w:color w:val="auto"/>
              </w:rPr>
              <w:t xml:space="preserve">zastosowanie </w:t>
            </w:r>
            <w:r>
              <w:rPr>
                <w:color w:val="auto"/>
              </w:rPr>
              <w:t>oraz</w:t>
            </w:r>
            <w:r w:rsidRPr="002B6FFB">
              <w:rPr>
                <w:color w:val="auto"/>
              </w:rPr>
              <w:t xml:space="preserve"> interpretację stosowanych skal oceny bólu</w:t>
            </w:r>
            <w:r>
              <w:rPr>
                <w:color w:val="auto"/>
              </w:rPr>
              <w:t xml:space="preserve"> i stanu ogólnego pacjenta, opracowanie algorytmu postępowania w określonych sytuacjach klinicznych</w:t>
            </w:r>
          </w:p>
          <w:p w:rsidR="004B6803" w:rsidRDefault="004B6803" w:rsidP="004B6803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:rsidR="004B6803" w:rsidRDefault="004B6803" w:rsidP="004B6803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:rsidR="00C66DB4" w:rsidRDefault="00C66DB4" w:rsidP="004B6803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:rsidR="00A3096F" w:rsidRPr="00C01834" w:rsidRDefault="004B6803" w:rsidP="004B6803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Zaliczenie końcowe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:rsidR="00C66DB4" w:rsidRPr="00C66DB4" w:rsidRDefault="00C66DB4" w:rsidP="00C66DB4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66DB4">
              <w:rPr>
                <w:color w:val="auto"/>
              </w:rPr>
              <w:t xml:space="preserve">wymagana obecność na wszystkich zajęciach seminaryjnych </w:t>
            </w:r>
          </w:p>
          <w:p w:rsidR="00C66DB4" w:rsidRDefault="00C66DB4" w:rsidP="00C66DB4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66DB4">
              <w:rPr>
                <w:color w:val="auto"/>
              </w:rPr>
              <w:t>aktywny udział w trakcie realizacji powierzonych w trakcie zajęć zadań</w:t>
            </w:r>
          </w:p>
          <w:p w:rsidR="00C66DB4" w:rsidRPr="00C66DB4" w:rsidRDefault="00C66DB4" w:rsidP="00C66DB4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:rsidR="00C66DB4" w:rsidRPr="00C66DB4" w:rsidRDefault="00C66DB4" w:rsidP="00C66DB4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:rsidR="00A3096F" w:rsidRPr="00C01834" w:rsidRDefault="00C66DB4" w:rsidP="00C66DB4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66DB4">
              <w:rPr>
                <w:color w:val="auto"/>
              </w:rPr>
              <w:t>próg zaliczenia – 60%</w:t>
            </w:r>
          </w:p>
        </w:tc>
      </w:tr>
    </w:tbl>
    <w:p w:rsidR="00C01834" w:rsidRPr="00E55362" w:rsidRDefault="00C01834" w:rsidP="00E55362">
      <w:pPr>
        <w:spacing w:after="0" w:line="264" w:lineRule="auto"/>
        <w:ind w:left="-6" w:hanging="11"/>
        <w:rPr>
          <w:b/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/>
      </w:tblPr>
      <w:tblGrid>
        <w:gridCol w:w="10190"/>
      </w:tblGrid>
      <w:tr w:rsidR="00014630" w:rsidRPr="00014630" w:rsidTr="009E3ED7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014630" w:rsidRPr="00E55362" w:rsidRDefault="00E55362" w:rsidP="00E55362">
            <w:pPr>
              <w:pStyle w:val="Akapitzlist"/>
              <w:numPr>
                <w:ilvl w:val="0"/>
                <w:numId w:val="1"/>
              </w:numPr>
              <w:jc w:val="center"/>
              <w:rPr>
                <w:i/>
                <w:iCs/>
                <w:color w:val="auto"/>
                <w:sz w:val="16"/>
                <w:szCs w:val="16"/>
              </w:rPr>
            </w:pPr>
            <w:r w:rsidRPr="00E55362">
              <w:rPr>
                <w:b/>
                <w:smallCaps/>
                <w:color w:val="auto"/>
                <w:sz w:val="24"/>
              </w:rPr>
              <w:t xml:space="preserve">Informacje dodatkowe </w:t>
            </w:r>
          </w:p>
        </w:tc>
      </w:tr>
      <w:tr w:rsidR="00014630" w:rsidRPr="00C01834" w:rsidTr="00E55362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8A32B5" w:rsidRDefault="00627A19" w:rsidP="00627A19">
            <w:pPr>
              <w:rPr>
                <w:bCs/>
                <w:color w:val="auto"/>
              </w:rPr>
            </w:pPr>
            <w:r w:rsidRPr="007C2BCA">
              <w:rPr>
                <w:bCs/>
                <w:color w:val="auto"/>
              </w:rPr>
              <w:t xml:space="preserve">Do uzyskania zaliczenia </w:t>
            </w:r>
            <w:r>
              <w:rPr>
                <w:bCs/>
                <w:color w:val="auto"/>
              </w:rPr>
              <w:t xml:space="preserve">przedmiotu </w:t>
            </w:r>
            <w:r w:rsidRPr="007C2BCA">
              <w:rPr>
                <w:bCs/>
                <w:color w:val="auto"/>
              </w:rPr>
              <w:t>niezbędna jest obecność na wszystkich seminariach</w:t>
            </w:r>
            <w:r>
              <w:rPr>
                <w:bCs/>
                <w:color w:val="auto"/>
              </w:rPr>
              <w:t>, opracowanie opisu przypadku</w:t>
            </w:r>
            <w:r w:rsidRPr="007C2BCA">
              <w:rPr>
                <w:bCs/>
                <w:color w:val="auto"/>
              </w:rPr>
              <w:t xml:space="preserve"> oraz uzyskanie co najmniej 60% punktów z </w:t>
            </w:r>
            <w:r w:rsidR="008A32B5">
              <w:rPr>
                <w:bCs/>
                <w:color w:val="auto"/>
              </w:rPr>
              <w:t>zaliczenia</w:t>
            </w:r>
            <w:r w:rsidRPr="007C2BCA">
              <w:rPr>
                <w:bCs/>
                <w:color w:val="auto"/>
              </w:rPr>
              <w:t xml:space="preserve"> końcowego</w:t>
            </w:r>
            <w:r w:rsidR="008A32B5">
              <w:rPr>
                <w:bCs/>
                <w:color w:val="auto"/>
              </w:rPr>
              <w:t xml:space="preserve"> (test)</w:t>
            </w:r>
            <w:r w:rsidRPr="007C2BCA">
              <w:rPr>
                <w:bCs/>
                <w:color w:val="auto"/>
              </w:rPr>
              <w:t xml:space="preserve">. </w:t>
            </w:r>
          </w:p>
          <w:p w:rsidR="003307BC" w:rsidRDefault="003307BC" w:rsidP="00627A19">
            <w:pPr>
              <w:rPr>
                <w:bCs/>
                <w:color w:val="auto"/>
              </w:rPr>
            </w:pPr>
          </w:p>
          <w:p w:rsidR="003307BC" w:rsidRDefault="003307BC" w:rsidP="00627A19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Studenci zobowiązani są do uczestnictwa w zajęciach ze swoją grupą seminaryjną wg planu. </w:t>
            </w:r>
            <w:r w:rsidR="009E1113">
              <w:rPr>
                <w:bCs/>
                <w:color w:val="auto"/>
              </w:rPr>
              <w:t xml:space="preserve">W wyjątkowych sytuacjach możliwe jest odpracowanie zajęć poprzez uczestnictwo w nich z inną grupą, po wcześniejszym uzgodnieniu z prowadzącym zajęcia. </w:t>
            </w:r>
          </w:p>
          <w:p w:rsidR="008A32B5" w:rsidRDefault="008A32B5" w:rsidP="00627A19">
            <w:pPr>
              <w:rPr>
                <w:bCs/>
                <w:color w:val="auto"/>
              </w:rPr>
            </w:pPr>
          </w:p>
          <w:p w:rsidR="00627A19" w:rsidRDefault="00627A19" w:rsidP="00627A19">
            <w:pPr>
              <w:rPr>
                <w:bCs/>
                <w:color w:val="auto"/>
              </w:rPr>
            </w:pPr>
            <w:r w:rsidRPr="007C2BCA">
              <w:rPr>
                <w:bCs/>
                <w:color w:val="auto"/>
              </w:rPr>
              <w:t xml:space="preserve">Zaliczenie końcowe w formie pisemnej, stacjonarnej, w trakcie ostatnich zajęć seminaryjnych. </w:t>
            </w:r>
            <w:r w:rsidR="001F203F">
              <w:rPr>
                <w:bCs/>
                <w:color w:val="auto"/>
              </w:rPr>
              <w:t>Możliwy d</w:t>
            </w:r>
            <w:r w:rsidRPr="007C2BCA">
              <w:rPr>
                <w:bCs/>
                <w:color w:val="auto"/>
              </w:rPr>
              <w:t>rugi, poprawkowy termin zaliczenia</w:t>
            </w:r>
            <w:r w:rsidR="001F203F">
              <w:rPr>
                <w:bCs/>
                <w:color w:val="auto"/>
              </w:rPr>
              <w:t xml:space="preserve"> końcowego</w:t>
            </w:r>
            <w:r w:rsidRPr="007C2BCA">
              <w:rPr>
                <w:bCs/>
                <w:color w:val="auto"/>
              </w:rPr>
              <w:t>, w terminie uzgodnionym z koordynatorem przedmiotu.</w:t>
            </w:r>
          </w:p>
          <w:p w:rsidR="00627A19" w:rsidRDefault="00627A19" w:rsidP="00627A19">
            <w:pPr>
              <w:rPr>
                <w:bCs/>
                <w:color w:val="auto"/>
              </w:rPr>
            </w:pPr>
          </w:p>
          <w:p w:rsidR="00627A19" w:rsidRPr="007C2BCA" w:rsidRDefault="00627A19" w:rsidP="00627A19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Strona internetowa Zakładu: </w:t>
            </w:r>
            <w:hyperlink r:id="rId9" w:history="1">
              <w:r w:rsidRPr="0096391D">
                <w:rPr>
                  <w:rStyle w:val="Hipercze"/>
                  <w:bCs/>
                </w:rPr>
                <w:t>https://propedeutykaonkologiczna.wum.edu.pl/</w:t>
              </w:r>
            </w:hyperlink>
            <w:r>
              <w:rPr>
                <w:bCs/>
                <w:color w:val="auto"/>
              </w:rPr>
              <w:t xml:space="preserve"> </w:t>
            </w:r>
          </w:p>
          <w:p w:rsidR="00014630" w:rsidRPr="00C01834" w:rsidRDefault="00014630" w:rsidP="009E3ED7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</w:p>
        </w:tc>
      </w:tr>
    </w:tbl>
    <w:p w:rsidR="00F016D9" w:rsidRPr="00A97D1F" w:rsidRDefault="000F7478" w:rsidP="001B4491">
      <w:pPr>
        <w:spacing w:before="120" w:after="0" w:line="259" w:lineRule="auto"/>
        <w:ind w:left="0" w:firstLine="0"/>
        <w:rPr>
          <w:color w:val="auto"/>
          <w:sz w:val="16"/>
          <w:szCs w:val="16"/>
        </w:rPr>
      </w:pPr>
      <w:r>
        <w:rPr>
          <w:noProof/>
          <w:color w:val="auto"/>
          <w:sz w:val="16"/>
          <w:szCs w:val="16"/>
        </w:rPr>
        <w:pict>
          <v:shape id="_x0000_s1027" type="#_x0000_t202" style="position:absolute;margin-left:-7.25pt;margin-top:637.15pt;width:517.5pt;height:110.6pt;z-index:25166131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">
            <v:textbox style="mso-fit-shape-to-text:t">
              <w:txbxContent>
                <w:p w:rsidR="00C174A8" w:rsidRPr="008E78CF" w:rsidRDefault="00C174A8" w:rsidP="00C174A8">
                  <w:pPr>
                    <w:jc w:val="center"/>
                    <w:rPr>
                      <w:b/>
                      <w:bCs/>
                    </w:rPr>
                  </w:pPr>
                  <w:r w:rsidRPr="008E78CF">
                    <w:rPr>
                      <w:b/>
                      <w:bCs/>
                    </w:rPr>
                    <w:t>UWAGA</w:t>
                  </w:r>
                </w:p>
                <w:p w:rsidR="003A2874" w:rsidRDefault="00C174A8" w:rsidP="00C174A8">
                  <w:pPr>
                    <w:jc w:val="center"/>
                  </w:pPr>
                  <w:r>
                    <w:t xml:space="preserve">Końcowe 10 minut ostatnich zajęć w bloku/semestrze/roku należy przeznaczyć na wypełnienie przez studentów </w:t>
                  </w:r>
                  <w:r>
                    <w:br/>
                    <w:t>Ankiety Oceny Zajęć i Nauczycieli Akademickich</w:t>
                  </w:r>
                </w:p>
              </w:txbxContent>
            </v:textbox>
            <w10:wrap type="square"/>
          </v:shape>
        </w:pict>
      </w:r>
      <w:r w:rsidR="00382A13" w:rsidRPr="00A97D1F">
        <w:rPr>
          <w:color w:val="auto"/>
          <w:sz w:val="16"/>
          <w:szCs w:val="16"/>
        </w:rPr>
        <w:t>Prawa majątkowe, w tym autorskie, do sylabusa przysługują WUM. Sylabus może być wykorzystywany dla celów związanych z kształceniem na studiach odbywanych w WUM. Korzystanie z sylabusa w innych celach wymaga zgody WUM.</w:t>
      </w:r>
    </w:p>
    <w:sectPr w:rsidR="00F016D9" w:rsidRPr="00A97D1F" w:rsidSect="008A3825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134" w:right="851" w:bottom="1418" w:left="851" w:header="709" w:footer="81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5B8" w:rsidRDefault="00F575B8">
      <w:pPr>
        <w:spacing w:after="0" w:line="240" w:lineRule="auto"/>
      </w:pPr>
      <w:r>
        <w:separator/>
      </w:r>
    </w:p>
  </w:endnote>
  <w:endnote w:type="continuationSeparator" w:id="0">
    <w:p w:rsidR="00F575B8" w:rsidRDefault="00F5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CEC" w:rsidRDefault="000F7478">
    <w:pPr>
      <w:spacing w:after="0" w:line="259" w:lineRule="auto"/>
      <w:ind w:left="0" w:right="-23" w:firstLine="0"/>
      <w:jc w:val="right"/>
    </w:pPr>
    <w:r w:rsidRPr="000F7478">
      <w:rPr>
        <w:noProof/>
        <w:sz w:val="22"/>
      </w:rPr>
      <w:pict>
        <v:group id="Group 36256" o:spid="_x0000_s2053" style="position:absolute;left:0;text-align:left;margin-left:42.5pt;margin-top:787.3pt;width:510.25pt;height:.75pt;z-index:251658240;mso-position-horizontal-relative:page;mso-position-vertical-relative:page" coordsize="64800,95">
          <v:shape id="Shape 36257" o:spid="_x0000_s2054" style="position:absolute;width:64800;height:0" coordsize="6480049,0" path="m6480049,l,e" filled="f" fillcolor="black" strokecolor="#aaa">
            <v:fill opacity="0"/>
            <v:stroke miterlimit="10" joinstyle="miter"/>
          </v:shape>
          <w10:wrap type="square" anchorx="page" anchory="page"/>
        </v:group>
      </w:pict>
    </w:r>
    <w:r w:rsidRPr="000F7478">
      <w:fldChar w:fldCharType="begin"/>
    </w:r>
    <w:r w:rsidR="00181CEC">
      <w:instrText xml:space="preserve"> PAGE   \* MERGEFORMAT </w:instrText>
    </w:r>
    <w:r w:rsidRPr="000F7478">
      <w:fldChar w:fldCharType="separate"/>
    </w:r>
    <w:r w:rsidR="00181CEC">
      <w:rPr>
        <w:sz w:val="22"/>
      </w:rPr>
      <w:t>1</w:t>
    </w:r>
    <w:r>
      <w:rPr>
        <w:sz w:val="22"/>
      </w:rPr>
      <w:fldChar w:fldCharType="end"/>
    </w:r>
    <w:r w:rsidR="00181CEC">
      <w:rPr>
        <w:sz w:val="22"/>
      </w:rPr>
      <w:t xml:space="preserve"> / </w:t>
    </w:r>
    <w:fldSimple w:instr=" NUMPAGES   \* MERGEFORMAT ">
      <w:r w:rsidR="00181CEC">
        <w:rPr>
          <w:sz w:val="22"/>
        </w:rPr>
        <w:t>11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CEC" w:rsidRDefault="000F7478">
    <w:pPr>
      <w:spacing w:after="0" w:line="259" w:lineRule="auto"/>
      <w:ind w:left="0" w:right="-23" w:firstLine="0"/>
      <w:jc w:val="right"/>
    </w:pPr>
    <w:r w:rsidRPr="000F7478">
      <w:rPr>
        <w:noProof/>
        <w:sz w:val="22"/>
      </w:rPr>
      <w:pict>
        <v:group id="Group 36246" o:spid="_x0000_s2051" style="position:absolute;left:0;text-align:left;margin-left:42.5pt;margin-top:787.3pt;width:510.25pt;height:.75pt;z-index:251659264;mso-position-horizontal-relative:page;mso-position-vertical-relative:page" coordsize="64800,95">
          <v:shape id="Shape 36247" o:spid="_x0000_s2052" style="position:absolute;width:64800;height:0" coordsize="6480049,0" path="m6480049,l,e" filled="f" fillcolor="black" strokecolor="#aaa">
            <v:fill opacity="0"/>
            <v:stroke miterlimit="10" joinstyle="miter"/>
          </v:shape>
          <w10:wrap type="square" anchorx="page" anchory="page"/>
        </v:group>
      </w:pict>
    </w:r>
    <w:r w:rsidRPr="000F7478">
      <w:fldChar w:fldCharType="begin"/>
    </w:r>
    <w:r w:rsidR="00181CEC">
      <w:instrText xml:space="preserve"> PAGE   \* MERGEFORMAT </w:instrText>
    </w:r>
    <w:r w:rsidRPr="000F7478">
      <w:fldChar w:fldCharType="separate"/>
    </w:r>
    <w:r w:rsidR="00DC13F2" w:rsidRPr="00DC13F2">
      <w:rPr>
        <w:noProof/>
        <w:sz w:val="22"/>
      </w:rPr>
      <w:t>1</w:t>
    </w:r>
    <w:r>
      <w:rPr>
        <w:sz w:val="22"/>
      </w:rPr>
      <w:fldChar w:fldCharType="end"/>
    </w:r>
    <w:r w:rsidR="00181CEC">
      <w:rPr>
        <w:sz w:val="22"/>
      </w:rPr>
      <w:t xml:space="preserve"> / </w:t>
    </w:r>
    <w:fldSimple w:instr=" NUMPAGES   \* MERGEFORMAT ">
      <w:r w:rsidR="00DC13F2" w:rsidRPr="00DC13F2">
        <w:rPr>
          <w:noProof/>
          <w:sz w:val="22"/>
        </w:rPr>
        <w:t>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CEC" w:rsidRDefault="000F7478">
    <w:pPr>
      <w:spacing w:after="0" w:line="259" w:lineRule="auto"/>
      <w:ind w:left="0" w:right="-23" w:firstLine="0"/>
      <w:jc w:val="right"/>
    </w:pPr>
    <w:r w:rsidRPr="000F7478">
      <w:rPr>
        <w:noProof/>
        <w:sz w:val="22"/>
      </w:rPr>
      <w:pict>
        <v:group id="Group 36236" o:spid="_x0000_s2049" style="position:absolute;left:0;text-align:left;margin-left:42.5pt;margin-top:787.3pt;width:510.25pt;height:.75pt;z-index:251660288;mso-position-horizontal-relative:page;mso-position-vertical-relative:page" coordsize="64800,95">
          <v:shape id="Shape 36237" o:spid="_x0000_s2050" style="position:absolute;width:64800;height:0" coordsize="6480049,0" path="m6480049,l,e" filled="f" fillcolor="black" strokecolor="#aaa">
            <v:fill opacity="0"/>
            <v:stroke miterlimit="10" joinstyle="miter"/>
          </v:shape>
          <w10:wrap type="square" anchorx="page" anchory="page"/>
        </v:group>
      </w:pict>
    </w:r>
    <w:r w:rsidRPr="000F7478">
      <w:fldChar w:fldCharType="begin"/>
    </w:r>
    <w:r w:rsidR="00181CEC">
      <w:instrText xml:space="preserve"> PAGE   \* MERGEFORMAT </w:instrText>
    </w:r>
    <w:r w:rsidRPr="000F7478">
      <w:fldChar w:fldCharType="separate"/>
    </w:r>
    <w:r w:rsidR="00181CEC">
      <w:rPr>
        <w:sz w:val="22"/>
      </w:rPr>
      <w:t>1</w:t>
    </w:r>
    <w:r>
      <w:rPr>
        <w:sz w:val="22"/>
      </w:rPr>
      <w:fldChar w:fldCharType="end"/>
    </w:r>
    <w:r w:rsidR="00181CEC">
      <w:rPr>
        <w:sz w:val="22"/>
      </w:rPr>
      <w:t xml:space="preserve"> / </w:t>
    </w:r>
    <w:fldSimple w:instr=" NUMPAGES   \* MERGEFORMAT ">
      <w:r w:rsidR="00181CEC">
        <w:rPr>
          <w:sz w:val="22"/>
        </w:rPr>
        <w:t>11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5B8" w:rsidRDefault="00F575B8">
      <w:pPr>
        <w:spacing w:after="0" w:line="240" w:lineRule="auto"/>
      </w:pPr>
      <w:r>
        <w:separator/>
      </w:r>
    </w:p>
  </w:footnote>
  <w:footnote w:type="continuationSeparator" w:id="0">
    <w:p w:rsidR="00F575B8" w:rsidRDefault="00F5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69" w:rsidRPr="00455F69" w:rsidRDefault="006F1A6D" w:rsidP="006F1A6D">
    <w:pPr>
      <w:tabs>
        <w:tab w:val="center" w:pos="4536"/>
        <w:tab w:val="right" w:pos="9072"/>
      </w:tabs>
      <w:spacing w:before="120" w:after="120" w:line="360" w:lineRule="auto"/>
      <w:ind w:left="0" w:firstLine="0"/>
      <w:jc w:val="right"/>
      <w:rPr>
        <w:rFonts w:ascii="Arial" w:eastAsia="Times New Roman" w:hAnsi="Arial" w:cs="Arial"/>
        <w:b/>
        <w:bCs/>
        <w:i/>
        <w:color w:val="auto"/>
        <w:sz w:val="16"/>
        <w:szCs w:val="20"/>
      </w:rPr>
    </w:pPr>
    <w:bookmarkStart w:id="2" w:name="_Hlk151379110"/>
    <w:bookmarkStart w:id="3" w:name="_Hlk151379111"/>
    <w:r w:rsidRPr="00455F69">
      <w:rPr>
        <w:rFonts w:ascii="Arial" w:eastAsia="Times New Roman" w:hAnsi="Arial" w:cs="Arial"/>
        <w:b/>
        <w:bCs/>
        <w:i/>
        <w:color w:val="auto"/>
        <w:sz w:val="16"/>
        <w:szCs w:val="24"/>
      </w:rPr>
      <w:t xml:space="preserve">Załącznik nr </w:t>
    </w:r>
    <w:r w:rsidR="008B2234">
      <w:rPr>
        <w:rFonts w:ascii="Arial" w:eastAsia="Times New Roman" w:hAnsi="Arial" w:cs="Arial"/>
        <w:b/>
        <w:bCs/>
        <w:i/>
        <w:color w:val="auto"/>
        <w:sz w:val="16"/>
        <w:szCs w:val="24"/>
      </w:rPr>
      <w:t>4A</w:t>
    </w:r>
    <w:r w:rsidRPr="00455F69">
      <w:rPr>
        <w:rFonts w:ascii="Arial" w:eastAsia="Times New Roman" w:hAnsi="Arial" w:cs="Arial"/>
        <w:b/>
        <w:bCs/>
        <w:i/>
        <w:color w:val="auto"/>
        <w:sz w:val="16"/>
        <w:szCs w:val="24"/>
      </w:rPr>
      <w:t xml:space="preserve"> </w:t>
    </w:r>
    <w:r w:rsidR="00455F69" w:rsidRPr="00455F69">
      <w:rPr>
        <w:rFonts w:ascii="Arial" w:eastAsia="Times New Roman" w:hAnsi="Arial" w:cs="Arial"/>
        <w:b/>
        <w:bCs/>
        <w:i/>
        <w:color w:val="auto"/>
        <w:sz w:val="16"/>
        <w:szCs w:val="24"/>
      </w:rPr>
      <w:t xml:space="preserve">do Procedury </w:t>
    </w:r>
    <w:bookmarkEnd w:id="2"/>
    <w:bookmarkEnd w:id="3"/>
    <w:r w:rsidR="00455F69" w:rsidRPr="00455F69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opracowywania i okresowego przeglądu programów studiów </w:t>
    </w:r>
  </w:p>
  <w:p w:rsidR="006F1A6D" w:rsidRPr="00455F69" w:rsidRDefault="00455F69" w:rsidP="006F1A6D">
    <w:pPr>
      <w:tabs>
        <w:tab w:val="center" w:pos="4536"/>
        <w:tab w:val="right" w:pos="9072"/>
      </w:tabs>
      <w:spacing w:before="120" w:after="120" w:line="360" w:lineRule="auto"/>
      <w:ind w:left="0" w:firstLine="0"/>
      <w:jc w:val="right"/>
      <w:rPr>
        <w:rFonts w:ascii="Arial" w:eastAsia="Times New Roman" w:hAnsi="Arial" w:cs="Arial"/>
        <w:b/>
        <w:bCs/>
        <w:i/>
        <w:color w:val="auto"/>
        <w:sz w:val="16"/>
        <w:szCs w:val="24"/>
      </w:rPr>
    </w:pPr>
    <w:r w:rsidRPr="00455F69">
      <w:rPr>
        <w:rFonts w:ascii="Arial" w:eastAsia="Times New Roman" w:hAnsi="Arial" w:cs="Arial"/>
        <w:b/>
        <w:bCs/>
        <w:i/>
        <w:color w:val="auto"/>
        <w:sz w:val="16"/>
        <w:szCs w:val="20"/>
      </w:rPr>
      <w:t>(stanowiącej załącznik do Zarządzenia nr</w:t>
    </w:r>
    <w:r w:rsidR="00A2186B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 68</w:t>
    </w:r>
    <w:r w:rsidRPr="00455F69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/2024 Rektora WUM z dnia </w:t>
    </w:r>
    <w:r w:rsidR="00A2186B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18 kwietnia </w:t>
    </w:r>
    <w:r w:rsidRPr="00455F69">
      <w:rPr>
        <w:rFonts w:ascii="Arial" w:eastAsia="Times New Roman" w:hAnsi="Arial" w:cs="Arial"/>
        <w:b/>
        <w:bCs/>
        <w:i/>
        <w:color w:val="auto"/>
        <w:sz w:val="16"/>
        <w:szCs w:val="20"/>
      </w:rPr>
      <w:t>2024 r.)</w:t>
    </w:r>
    <w:r w:rsidRPr="00455F69">
      <w:rPr>
        <w:rFonts w:ascii="Arial" w:eastAsia="Times New Roman" w:hAnsi="Arial" w:cs="Arial"/>
        <w:b/>
        <w:bCs/>
        <w:i/>
        <w:color w:val="auto"/>
        <w:sz w:val="16"/>
        <w:szCs w:val="20"/>
      </w:rPr>
      <w:br/>
    </w:r>
  </w:p>
  <w:p w:rsidR="006F1A6D" w:rsidRDefault="006F1A6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50F03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A779F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45A6C"/>
    <w:multiLevelType w:val="hybridMultilevel"/>
    <w:tmpl w:val="468E0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93DB4"/>
    <w:multiLevelType w:val="hybridMultilevel"/>
    <w:tmpl w:val="FC143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467C0"/>
    <w:multiLevelType w:val="hybridMultilevel"/>
    <w:tmpl w:val="5F943EAC"/>
    <w:lvl w:ilvl="0" w:tplc="B0F64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D676A"/>
    <w:multiLevelType w:val="hybridMultilevel"/>
    <w:tmpl w:val="4CA82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C524C"/>
    <w:rsid w:val="00000F6A"/>
    <w:rsid w:val="0001205E"/>
    <w:rsid w:val="00012895"/>
    <w:rsid w:val="00014630"/>
    <w:rsid w:val="00042B01"/>
    <w:rsid w:val="00046426"/>
    <w:rsid w:val="00064BF9"/>
    <w:rsid w:val="0006504E"/>
    <w:rsid w:val="00065161"/>
    <w:rsid w:val="000825E9"/>
    <w:rsid w:val="000930E0"/>
    <w:rsid w:val="00096A04"/>
    <w:rsid w:val="000A1B1D"/>
    <w:rsid w:val="000A4353"/>
    <w:rsid w:val="000A44E7"/>
    <w:rsid w:val="000A61A5"/>
    <w:rsid w:val="000C639F"/>
    <w:rsid w:val="000C7439"/>
    <w:rsid w:val="000E7357"/>
    <w:rsid w:val="000F3DA2"/>
    <w:rsid w:val="000F7478"/>
    <w:rsid w:val="001031FA"/>
    <w:rsid w:val="0011059F"/>
    <w:rsid w:val="00133592"/>
    <w:rsid w:val="00141A71"/>
    <w:rsid w:val="001461AE"/>
    <w:rsid w:val="00160769"/>
    <w:rsid w:val="00173D90"/>
    <w:rsid w:val="00181CEC"/>
    <w:rsid w:val="00186DCB"/>
    <w:rsid w:val="00192772"/>
    <w:rsid w:val="001B4491"/>
    <w:rsid w:val="001B5C89"/>
    <w:rsid w:val="001B723D"/>
    <w:rsid w:val="001C2288"/>
    <w:rsid w:val="001C26A2"/>
    <w:rsid w:val="001C2D2C"/>
    <w:rsid w:val="001C2D61"/>
    <w:rsid w:val="001C470B"/>
    <w:rsid w:val="001C78B8"/>
    <w:rsid w:val="001D6851"/>
    <w:rsid w:val="001E63CB"/>
    <w:rsid w:val="001F028B"/>
    <w:rsid w:val="001F08B1"/>
    <w:rsid w:val="001F203F"/>
    <w:rsid w:val="002066C4"/>
    <w:rsid w:val="00216801"/>
    <w:rsid w:val="00224D75"/>
    <w:rsid w:val="002453B1"/>
    <w:rsid w:val="00257AD9"/>
    <w:rsid w:val="0027009D"/>
    <w:rsid w:val="0029330A"/>
    <w:rsid w:val="00297232"/>
    <w:rsid w:val="002B6273"/>
    <w:rsid w:val="002D0347"/>
    <w:rsid w:val="002F160C"/>
    <w:rsid w:val="002F3B26"/>
    <w:rsid w:val="002F51ED"/>
    <w:rsid w:val="002F6BAD"/>
    <w:rsid w:val="0032724D"/>
    <w:rsid w:val="003307BC"/>
    <w:rsid w:val="0033275B"/>
    <w:rsid w:val="003355FC"/>
    <w:rsid w:val="0035040A"/>
    <w:rsid w:val="00365A59"/>
    <w:rsid w:val="0037224C"/>
    <w:rsid w:val="00382A13"/>
    <w:rsid w:val="003A2874"/>
    <w:rsid w:val="003B3D74"/>
    <w:rsid w:val="003F211F"/>
    <w:rsid w:val="00401762"/>
    <w:rsid w:val="004061EC"/>
    <w:rsid w:val="00417C37"/>
    <w:rsid w:val="00422398"/>
    <w:rsid w:val="00427F40"/>
    <w:rsid w:val="004343B9"/>
    <w:rsid w:val="0043544E"/>
    <w:rsid w:val="0044254E"/>
    <w:rsid w:val="004447A3"/>
    <w:rsid w:val="004448F5"/>
    <w:rsid w:val="00455F69"/>
    <w:rsid w:val="004647FE"/>
    <w:rsid w:val="00470E8F"/>
    <w:rsid w:val="00475E7A"/>
    <w:rsid w:val="00476558"/>
    <w:rsid w:val="00477321"/>
    <w:rsid w:val="00481BE4"/>
    <w:rsid w:val="0048713D"/>
    <w:rsid w:val="00493C5F"/>
    <w:rsid w:val="004B6803"/>
    <w:rsid w:val="004C7836"/>
    <w:rsid w:val="004E0642"/>
    <w:rsid w:val="004E284F"/>
    <w:rsid w:val="004E66D2"/>
    <w:rsid w:val="00502212"/>
    <w:rsid w:val="00505A50"/>
    <w:rsid w:val="00527D1C"/>
    <w:rsid w:val="005515BD"/>
    <w:rsid w:val="00562624"/>
    <w:rsid w:val="00574658"/>
    <w:rsid w:val="0058163E"/>
    <w:rsid w:val="005818F5"/>
    <w:rsid w:val="00590D10"/>
    <w:rsid w:val="005944D4"/>
    <w:rsid w:val="005E4473"/>
    <w:rsid w:val="00602485"/>
    <w:rsid w:val="00610AC4"/>
    <w:rsid w:val="006123B0"/>
    <w:rsid w:val="0062168A"/>
    <w:rsid w:val="00625A43"/>
    <w:rsid w:val="00627A19"/>
    <w:rsid w:val="0064087A"/>
    <w:rsid w:val="00651E2C"/>
    <w:rsid w:val="006557EB"/>
    <w:rsid w:val="00666888"/>
    <w:rsid w:val="006668EF"/>
    <w:rsid w:val="00667A8C"/>
    <w:rsid w:val="006724FA"/>
    <w:rsid w:val="006775F9"/>
    <w:rsid w:val="00686352"/>
    <w:rsid w:val="006A442B"/>
    <w:rsid w:val="006B012B"/>
    <w:rsid w:val="006B6B0B"/>
    <w:rsid w:val="006C2FCD"/>
    <w:rsid w:val="006C524C"/>
    <w:rsid w:val="006D018B"/>
    <w:rsid w:val="006D2F81"/>
    <w:rsid w:val="006D6184"/>
    <w:rsid w:val="006E4055"/>
    <w:rsid w:val="006E5C90"/>
    <w:rsid w:val="006E6CDB"/>
    <w:rsid w:val="006F1A6D"/>
    <w:rsid w:val="00724BB4"/>
    <w:rsid w:val="00724F33"/>
    <w:rsid w:val="00732CF5"/>
    <w:rsid w:val="00750DE5"/>
    <w:rsid w:val="00781FEE"/>
    <w:rsid w:val="00787B20"/>
    <w:rsid w:val="00792FD5"/>
    <w:rsid w:val="00794970"/>
    <w:rsid w:val="00796905"/>
    <w:rsid w:val="007C742E"/>
    <w:rsid w:val="007E5F77"/>
    <w:rsid w:val="00812579"/>
    <w:rsid w:val="0084533F"/>
    <w:rsid w:val="00852FDA"/>
    <w:rsid w:val="00861D21"/>
    <w:rsid w:val="008646B7"/>
    <w:rsid w:val="00866F85"/>
    <w:rsid w:val="008A2F0E"/>
    <w:rsid w:val="008A32B5"/>
    <w:rsid w:val="008A3825"/>
    <w:rsid w:val="008B2234"/>
    <w:rsid w:val="008D2A3B"/>
    <w:rsid w:val="008E592D"/>
    <w:rsid w:val="00900EC6"/>
    <w:rsid w:val="00901188"/>
    <w:rsid w:val="00912418"/>
    <w:rsid w:val="009339F0"/>
    <w:rsid w:val="0094563D"/>
    <w:rsid w:val="009563B3"/>
    <w:rsid w:val="009751B4"/>
    <w:rsid w:val="009953CA"/>
    <w:rsid w:val="009A408F"/>
    <w:rsid w:val="009B0138"/>
    <w:rsid w:val="009B62DF"/>
    <w:rsid w:val="009C045F"/>
    <w:rsid w:val="009E1113"/>
    <w:rsid w:val="009E5995"/>
    <w:rsid w:val="009E635F"/>
    <w:rsid w:val="009E652E"/>
    <w:rsid w:val="009F6016"/>
    <w:rsid w:val="00A2186B"/>
    <w:rsid w:val="00A3096F"/>
    <w:rsid w:val="00A42ACC"/>
    <w:rsid w:val="00A431B8"/>
    <w:rsid w:val="00A63CE6"/>
    <w:rsid w:val="00A83078"/>
    <w:rsid w:val="00A85C87"/>
    <w:rsid w:val="00A97D1F"/>
    <w:rsid w:val="00AA7C5B"/>
    <w:rsid w:val="00AD2F54"/>
    <w:rsid w:val="00AD4C7E"/>
    <w:rsid w:val="00AD644F"/>
    <w:rsid w:val="00AF12D6"/>
    <w:rsid w:val="00B179E7"/>
    <w:rsid w:val="00B22618"/>
    <w:rsid w:val="00B344D3"/>
    <w:rsid w:val="00B51524"/>
    <w:rsid w:val="00B5341A"/>
    <w:rsid w:val="00B5568B"/>
    <w:rsid w:val="00B72F8F"/>
    <w:rsid w:val="00B80003"/>
    <w:rsid w:val="00B8221A"/>
    <w:rsid w:val="00B847B7"/>
    <w:rsid w:val="00B93718"/>
    <w:rsid w:val="00B973EC"/>
    <w:rsid w:val="00BA7B29"/>
    <w:rsid w:val="00BB0EA6"/>
    <w:rsid w:val="00BB23E6"/>
    <w:rsid w:val="00BB34C4"/>
    <w:rsid w:val="00BE7242"/>
    <w:rsid w:val="00BE7443"/>
    <w:rsid w:val="00BF1F41"/>
    <w:rsid w:val="00BF74E9"/>
    <w:rsid w:val="00BF7BFD"/>
    <w:rsid w:val="00C01834"/>
    <w:rsid w:val="00C05842"/>
    <w:rsid w:val="00C174A8"/>
    <w:rsid w:val="00C24D59"/>
    <w:rsid w:val="00C41C38"/>
    <w:rsid w:val="00C47BE6"/>
    <w:rsid w:val="00C66DB4"/>
    <w:rsid w:val="00C713EE"/>
    <w:rsid w:val="00C8719A"/>
    <w:rsid w:val="00C92ECE"/>
    <w:rsid w:val="00CA07F6"/>
    <w:rsid w:val="00CA1674"/>
    <w:rsid w:val="00CA3ACF"/>
    <w:rsid w:val="00CA4B32"/>
    <w:rsid w:val="00CB1D0A"/>
    <w:rsid w:val="00CB3015"/>
    <w:rsid w:val="00CC2FDD"/>
    <w:rsid w:val="00CE45CA"/>
    <w:rsid w:val="00D003F3"/>
    <w:rsid w:val="00D147A3"/>
    <w:rsid w:val="00D15889"/>
    <w:rsid w:val="00D320E0"/>
    <w:rsid w:val="00D51D7E"/>
    <w:rsid w:val="00D54A7F"/>
    <w:rsid w:val="00D56CEB"/>
    <w:rsid w:val="00D7610C"/>
    <w:rsid w:val="00D81B80"/>
    <w:rsid w:val="00D84127"/>
    <w:rsid w:val="00D928FC"/>
    <w:rsid w:val="00D93A54"/>
    <w:rsid w:val="00D949E7"/>
    <w:rsid w:val="00D94F7E"/>
    <w:rsid w:val="00DA7CD8"/>
    <w:rsid w:val="00DB2CB0"/>
    <w:rsid w:val="00DC13F2"/>
    <w:rsid w:val="00DC3980"/>
    <w:rsid w:val="00DD2695"/>
    <w:rsid w:val="00DE0923"/>
    <w:rsid w:val="00DE5363"/>
    <w:rsid w:val="00DF5073"/>
    <w:rsid w:val="00DF679B"/>
    <w:rsid w:val="00E165E7"/>
    <w:rsid w:val="00E243A9"/>
    <w:rsid w:val="00E3527C"/>
    <w:rsid w:val="00E40761"/>
    <w:rsid w:val="00E55362"/>
    <w:rsid w:val="00E6064C"/>
    <w:rsid w:val="00E70A1B"/>
    <w:rsid w:val="00E817B4"/>
    <w:rsid w:val="00E855E5"/>
    <w:rsid w:val="00EA0148"/>
    <w:rsid w:val="00EB1CDB"/>
    <w:rsid w:val="00EB4E6F"/>
    <w:rsid w:val="00EC32EE"/>
    <w:rsid w:val="00EC6008"/>
    <w:rsid w:val="00EE24F3"/>
    <w:rsid w:val="00EE6DD6"/>
    <w:rsid w:val="00EF1F36"/>
    <w:rsid w:val="00EF632E"/>
    <w:rsid w:val="00F016D9"/>
    <w:rsid w:val="00F02965"/>
    <w:rsid w:val="00F1290D"/>
    <w:rsid w:val="00F17487"/>
    <w:rsid w:val="00F23FFA"/>
    <w:rsid w:val="00F36F49"/>
    <w:rsid w:val="00F44409"/>
    <w:rsid w:val="00F47BF2"/>
    <w:rsid w:val="00F575B8"/>
    <w:rsid w:val="00F8145A"/>
    <w:rsid w:val="00F81FD3"/>
    <w:rsid w:val="00FC0FDF"/>
    <w:rsid w:val="00FC2D6C"/>
    <w:rsid w:val="00FF3130"/>
    <w:rsid w:val="00FF524E"/>
    <w:rsid w:val="00FF6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362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rsid w:val="000F7478"/>
    <w:pPr>
      <w:keepNext/>
      <w:keepLines/>
      <w:spacing w:after="11"/>
      <w:ind w:left="366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0F7478"/>
    <w:pPr>
      <w:keepNext/>
      <w:keepLines/>
      <w:spacing w:after="152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F7478"/>
    <w:rPr>
      <w:rFonts w:ascii="Calibri" w:eastAsia="Calibri" w:hAnsi="Calibri" w:cs="Calibri"/>
      <w:b/>
      <w:color w:val="000000"/>
      <w:sz w:val="18"/>
    </w:rPr>
  </w:style>
  <w:style w:type="character" w:customStyle="1" w:styleId="Nagwek1Znak">
    <w:name w:val="Nagłówek 1 Znak"/>
    <w:link w:val="Nagwek1"/>
    <w:rsid w:val="000F7478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0F747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D5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D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D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D59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35F"/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C92ECE"/>
    <w:pPr>
      <w:ind w:left="720"/>
      <w:contextualSpacing/>
    </w:pPr>
  </w:style>
  <w:style w:type="paragraph" w:customStyle="1" w:styleId="Default">
    <w:name w:val="Default"/>
    <w:rsid w:val="001C78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27A1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pedeutykaonkologiczna.wum.edu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6DFE-2DBC-43C6-9BD4-1740F1FB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Anatomia z embriologią</vt:lpstr>
    </vt:vector>
  </TitlesOfParts>
  <Company/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Anatomia z embriologią</dc:title>
  <dc:creator>Maksymilian Radzimirski</dc:creator>
  <cp:lastModifiedBy>Ania</cp:lastModifiedBy>
  <cp:revision>2</cp:revision>
  <cp:lastPrinted>2020-02-05T09:19:00Z</cp:lastPrinted>
  <dcterms:created xsi:type="dcterms:W3CDTF">2025-09-12T19:06:00Z</dcterms:created>
  <dcterms:modified xsi:type="dcterms:W3CDTF">2025-09-12T19:06:00Z</dcterms:modified>
</cp:coreProperties>
</file>