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AD2F54" w:rsidRDefault="00254B65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30271A" w:rsidRPr="00F17980" w:rsidRDefault="0030271A" w:rsidP="003027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Żywienie w chorobach nowotworowych</w:t>
                  </w:r>
                </w:p>
                <w:p w:rsidR="0030271A" w:rsidRPr="0030271A" w:rsidRDefault="0030271A" w:rsidP="0030271A">
                  <w:pPr>
                    <w:ind w:left="0"/>
                    <w:jc w:val="center"/>
                    <w:rPr>
                      <w:b/>
                      <w:bCs/>
                      <w:i/>
                    </w:rPr>
                  </w:pPr>
                  <w:r w:rsidRPr="0030271A">
                    <w:rPr>
                      <w:rStyle w:val="rynqvb"/>
                      <w:b/>
                      <w:i/>
                    </w:rPr>
                    <w:t>Nutrition in cancer patients</w:t>
                  </w:r>
                </w:p>
              </w:txbxContent>
            </v:textbox>
            <w10:wrap type="square"/>
          </v:shape>
        </w:pic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C01834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30271A" w:rsidRPr="00C01834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D976A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202</w:t>
            </w:r>
            <w:r w:rsidR="00D976A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A17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/202</w:t>
            </w:r>
            <w:r w:rsidR="00D976A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Lekarski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Lekarski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Nauki medyczne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Ogólnoakademicki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Jednolite magisterskie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Stacjonarne, niestacjonarne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Fakultatywny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</w:t>
            </w:r>
          </w:p>
        </w:tc>
      </w:tr>
      <w:tr w:rsidR="0030271A" w:rsidRPr="00D976A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Zakład Propedeutyki Onkologicznej</w:t>
            </w:r>
          </w:p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ul. </w:t>
            </w:r>
            <w:r w:rsidRPr="00A17FA5">
              <w:rPr>
                <w:rFonts w:ascii="Times New Roman" w:hAnsi="Times New Roman" w:cs="Times New Roman"/>
                <w:b/>
                <w:sz w:val="20"/>
                <w:szCs w:val="20"/>
              </w:rPr>
              <w:t>Erazma Ciołka 27,01-445 Warszawa</w:t>
            </w:r>
          </w:p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tel./fax. (022) 57-20-702</w:t>
            </w:r>
          </w:p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nzx@wum.edu.pl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Prof. dr hab. n. med. </w:t>
            </w: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Andrzej Deptała</w:t>
            </w:r>
          </w:p>
        </w:tc>
      </w:tr>
      <w:tr w:rsidR="0030271A" w:rsidRPr="00D976A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D976AA" w:rsidRDefault="0030271A" w:rsidP="0030271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D976A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Anna M. Badowska-Kozakiewicz</w:t>
            </w:r>
          </w:p>
          <w:p w:rsidR="0030271A" w:rsidRPr="00A17FA5" w:rsidRDefault="0030271A" w:rsidP="0030271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D976A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abadowska@wum.edu.pl</w:t>
            </w:r>
          </w:p>
        </w:tc>
      </w:tr>
      <w:tr w:rsidR="0030271A" w:rsidRPr="00D976A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D976AA" w:rsidRDefault="0030271A" w:rsidP="0030271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D976A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Anna M. Badowska-Kozakiewicz</w:t>
            </w:r>
          </w:p>
          <w:p w:rsidR="0030271A" w:rsidRPr="00D976AA" w:rsidRDefault="0030271A" w:rsidP="0030271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D976A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abadowska@wum.edu.pl</w:t>
            </w:r>
          </w:p>
        </w:tc>
      </w:tr>
      <w:tr w:rsidR="0030271A" w:rsidRPr="00D976A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D976AA" w:rsidRDefault="0030271A" w:rsidP="0030271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D976A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Anna M. Badowska-Kozakiewicz</w:t>
            </w:r>
          </w:p>
          <w:p w:rsidR="0030271A" w:rsidRPr="00D976AA" w:rsidRDefault="0030271A" w:rsidP="0030271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D976A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abadowska@wum.edu.pl</w:t>
            </w:r>
          </w:p>
        </w:tc>
      </w:tr>
    </w:tbl>
    <w:p w:rsidR="00C01834" w:rsidRPr="00D976AA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C01834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E21FC1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I-VI, zimowy</w:t>
            </w:r>
          </w:p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I-VI, letni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A17FA5" w:rsidRDefault="00E21FC1" w:rsidP="00C11216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2.00</w:t>
            </w:r>
          </w:p>
        </w:tc>
      </w:tr>
      <w:tr w:rsidR="00E21FC1" w:rsidRPr="00C01834" w:rsidTr="00DB19DF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0" w:line="236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C01834" w:rsidRDefault="00E21FC1" w:rsidP="00D773DA">
            <w:pPr>
              <w:spacing w:after="160" w:line="259" w:lineRule="auto"/>
              <w:ind w:left="0"/>
              <w:rPr>
                <w:color w:val="auto"/>
              </w:rPr>
            </w:pP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E21FC1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1.50</w:t>
            </w:r>
          </w:p>
        </w:tc>
      </w:tr>
      <w:tr w:rsidR="00E21FC1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C01834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E21FC1" w:rsidRPr="00C01834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0.50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C01834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E21FC1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Omówienie zasad zdrowego żywienia;</w:t>
            </w: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E21FC1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Omówienie wpływu diety na rozwój nowotworów złośliwych;</w:t>
            </w:r>
          </w:p>
        </w:tc>
      </w:tr>
      <w:tr w:rsidR="00E21FC1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Omówienie znaczenia żywienia w trakcie leczenia chorób nowotworowych;</w:t>
            </w:r>
          </w:p>
        </w:tc>
      </w:tr>
      <w:tr w:rsidR="00E21FC1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Omówienie ogólnych zaleceń żywieniowych w trakcie choroby nowotworowej. Omówienie problemu niedożywienia w chorobie nowotworowej;</w:t>
            </w:r>
          </w:p>
        </w:tc>
      </w:tr>
      <w:tr w:rsidR="00E21FC1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Omówienie żywienia w trakcie terapii onkologicznej. Preparaty ONS, leczenie żywieniowe, dieta łatwostrawna. Omówienie zasad żywienia po wyleczeniu;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z 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29 wrześni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a 2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023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E21FC1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zdrowego żywienia;</w:t>
            </w:r>
          </w:p>
        </w:tc>
      </w:tr>
      <w:tr w:rsidR="00E21FC1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wpływ diety na rozwój nowotworów złośliwych; zalecenia żywieniowe  w trakcie choroby nowotworowej oraz problem niedożywienia w chorobie nowotworowej;</w:t>
            </w:r>
          </w:p>
        </w:tc>
      </w:tr>
      <w:tr w:rsidR="00E21FC1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znaczenia żywienia w trakcie leczenia chorób nowotworowych; żywienie  w trakcie terapii onkologicznej; preparaty ONS, leczenie żywieniowe, dietę łatwostrawną; zasad żywienia po wyleczeniu;</w:t>
            </w:r>
          </w:p>
        </w:tc>
      </w:tr>
      <w:tr w:rsidR="00E21FC1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osiada wiedzę dotyczącą wpływu żywności i żywienia na proces powstawania nowotworów;</w:t>
            </w:r>
          </w:p>
        </w:tc>
      </w:tr>
      <w:tr w:rsidR="00E21FC1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zasady </w:t>
            </w:r>
            <w:r w:rsidRPr="00A17FA5">
              <w:rPr>
                <w:rFonts w:ascii="Times New Roman" w:hAnsi="Times New Roman" w:cs="Times New Roman"/>
                <w:sz w:val="20"/>
                <w:szCs w:val="20"/>
              </w:rPr>
              <w:t xml:space="preserve"> prawidłowego żywienia dietetycznego w leczeniu chorób nowotworowych;</w:t>
            </w:r>
          </w:p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A17FA5">
              <w:rPr>
                <w:rFonts w:ascii="Times New Roman" w:hAnsi="Times New Roman" w:cs="Times New Roman"/>
                <w:sz w:val="20"/>
                <w:szCs w:val="20"/>
              </w:rPr>
              <w:t>na kryteria rozpoznawania wyniszczenia nowotworowego i zna  zasady  zapobiegania temu zjawisku;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E21FC1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wymienić zasady zdrowego żywienia;</w:t>
            </w:r>
          </w:p>
        </w:tc>
      </w:tr>
      <w:tr w:rsidR="00E21FC1" w:rsidRPr="00C01834" w:rsidTr="00CF518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wyjaśnić wpływ diety na rozwój nowotworów złośliwych;</w:t>
            </w:r>
          </w:p>
        </w:tc>
      </w:tr>
      <w:tr w:rsidR="00E21FC1" w:rsidRPr="00C01834" w:rsidTr="00CF518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sposób interdyscyplinarny rozwiązywać problemy z zakresu żywienia w trakcie leczenia chorób nowotworowych;</w:t>
            </w:r>
          </w:p>
        </w:tc>
      </w:tr>
      <w:tr w:rsidR="00E21FC1" w:rsidRPr="00C01834" w:rsidTr="00CF518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wdrażać zalecenia żywieniowe w trakcie choroby nowotworowej, również potrafi rozpoznać problem niedożywienia w chorobie nowotworowej;</w:t>
            </w:r>
          </w:p>
        </w:tc>
      </w:tr>
      <w:tr w:rsidR="00E21FC1" w:rsidRPr="00C01834" w:rsidTr="00CF518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ustalić dla pacjenta harmonogram żywienia w trakcie terapii onkologicznej, potrafi również ustalić dietę dla pacjenta po wyleczeniu;</w:t>
            </w:r>
          </w:p>
        </w:tc>
      </w:tr>
      <w:tr w:rsidR="00E21FC1" w:rsidRPr="00C01834" w:rsidTr="00CF518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17FA5">
              <w:rPr>
                <w:rFonts w:ascii="Times New Roman" w:hAnsi="Times New Roman" w:cs="Times New Roman"/>
                <w:sz w:val="20"/>
                <w:szCs w:val="20"/>
              </w:rPr>
              <w:t>mie zaplanować jadłospis dla osoby chorej na chorobę nowotworową;</w:t>
            </w:r>
          </w:p>
        </w:tc>
      </w:tr>
      <w:tr w:rsidR="00E21FC1" w:rsidRPr="00C01834" w:rsidTr="00CF518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17FA5">
              <w:rPr>
                <w:rFonts w:ascii="Times New Roman" w:hAnsi="Times New Roman" w:cs="Times New Roman"/>
                <w:sz w:val="20"/>
                <w:szCs w:val="20"/>
              </w:rPr>
              <w:t>otrafi dokonać wraz z zespołem interdyscyplinarnym oceny stanu odżywienia chorego po przebytej terapii;</w:t>
            </w:r>
          </w:p>
        </w:tc>
      </w:tr>
      <w:tr w:rsidR="00E21FC1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rytycznie analizować piśmiennictwo medyczne, w tym w języku angielskim i wyciągać wnioski;</w:t>
            </w:r>
          </w:p>
        </w:tc>
      </w:tr>
    </w:tbl>
    <w:p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</w:t>
      </w:r>
      <w:r w:rsidR="002D0492">
        <w:rPr>
          <w:bCs/>
          <w:i/>
          <w:iCs/>
          <w:color w:val="auto"/>
          <w:sz w:val="16"/>
          <w:szCs w:val="14"/>
        </w:rPr>
        <w:t>9</w:t>
      </w:r>
      <w:r w:rsidRPr="00B8221A">
        <w:rPr>
          <w:bCs/>
          <w:i/>
          <w:iCs/>
          <w:color w:val="auto"/>
          <w:sz w:val="16"/>
          <w:szCs w:val="14"/>
        </w:rPr>
        <w:t xml:space="preserve"> </w:t>
      </w:r>
      <w:r w:rsidR="002D0492">
        <w:rPr>
          <w:bCs/>
          <w:i/>
          <w:iCs/>
          <w:color w:val="auto"/>
          <w:sz w:val="16"/>
          <w:szCs w:val="14"/>
        </w:rPr>
        <w:t>wrześni</w:t>
      </w:r>
      <w:r w:rsidRPr="00B8221A">
        <w:rPr>
          <w:bCs/>
          <w:i/>
          <w:iCs/>
          <w:color w:val="auto"/>
          <w:sz w:val="16"/>
          <w:szCs w:val="14"/>
        </w:rPr>
        <w:t>a 20</w:t>
      </w:r>
      <w:r w:rsidR="002D0492">
        <w:rPr>
          <w:bCs/>
          <w:i/>
          <w:iCs/>
          <w:color w:val="auto"/>
          <w:sz w:val="16"/>
          <w:szCs w:val="14"/>
        </w:rPr>
        <w:t xml:space="preserve">23 </w:t>
      </w:r>
      <w:r w:rsidRPr="00B8221A">
        <w:rPr>
          <w:bCs/>
          <w:i/>
          <w:iCs/>
          <w:color w:val="auto"/>
          <w:sz w:val="16"/>
          <w:szCs w:val="14"/>
        </w:rPr>
        <w:t>wspomina się o „absolwencie”, a nie studencie</w:t>
      </w:r>
    </w:p>
    <w:p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E21FC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E21FC1" w:rsidP="00E21FC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t>–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E21FC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E21FC1" w:rsidP="00E21FC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t>–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E21FC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E21FC1">
            <w:pPr>
              <w:spacing w:after="0" w:line="259" w:lineRule="auto"/>
              <w:ind w:left="15" w:firstLine="0"/>
              <w:jc w:val="both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E21FC1" w:rsidP="00E21FC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t>–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C01834" w:rsidP="00E21FC1">
            <w:pPr>
              <w:spacing w:after="0" w:line="259" w:lineRule="auto"/>
              <w:ind w:left="15" w:firstLine="0"/>
              <w:jc w:val="both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E21FC1" w:rsidP="00E21FC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t>–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E21FC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Kompetencji społecznych – Absolwent jest gotów do:</w:t>
            </w:r>
          </w:p>
        </w:tc>
      </w:tr>
      <w:tr w:rsidR="00E21FC1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tabs>
                <w:tab w:val="left" w:pos="72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sz w:val="20"/>
                <w:szCs w:val="20"/>
              </w:rPr>
              <w:t>kontynuacji nauki  przez całe życie zawodowe w celu stałego uaktualnienia wiedzy i umiejętności zawodowych w oparciu min. o interpretację wyników badań naukowych z danej dziedziny specjalistycznej;</w:t>
            </w:r>
          </w:p>
        </w:tc>
      </w:tr>
      <w:tr w:rsidR="00E21FC1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sz w:val="20"/>
                <w:szCs w:val="20"/>
              </w:rPr>
              <w:t>współpracy  z innymi przedstawicielami zawodów medycznych i pracownikami administracji ochrony zdrowia w celu prowadzenia prawidłowego  żywienia dietetycznego chorych na nowotwory.</w:t>
            </w:r>
          </w:p>
        </w:tc>
      </w:tr>
    </w:tbl>
    <w:p w:rsidR="00C01834" w:rsidRPr="00C01834" w:rsidRDefault="00C01834" w:rsidP="00E21FC1">
      <w:pPr>
        <w:spacing w:after="11" w:line="259" w:lineRule="auto"/>
        <w:jc w:val="both"/>
        <w:rPr>
          <w:b/>
          <w:color w:val="auto"/>
          <w:sz w:val="24"/>
        </w:rPr>
      </w:pPr>
    </w:p>
    <w:p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C01834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E21FC1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Seminaria e-learning</w:t>
            </w:r>
          </w:p>
          <w:p w:rsidR="00E21FC1" w:rsidRPr="00A17FA5" w:rsidRDefault="00E21FC1" w:rsidP="00E21FC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zdrowego żywienia;</w:t>
            </w:r>
          </w:p>
          <w:p w:rsidR="00E21FC1" w:rsidRPr="00A17FA5" w:rsidRDefault="00E21FC1" w:rsidP="00E21FC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Wpływu diety na rozwój nowotworów złośliwych;</w:t>
            </w:r>
          </w:p>
          <w:p w:rsidR="00E21FC1" w:rsidRPr="00A17FA5" w:rsidRDefault="00E21FC1" w:rsidP="00E21FC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Znaczenia żywienia w trakcie leczenia chorób nowotworowych;</w:t>
            </w:r>
          </w:p>
          <w:p w:rsidR="00E21FC1" w:rsidRPr="00A17FA5" w:rsidRDefault="00E21FC1" w:rsidP="00E21FC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Zalecenia żywieniowe  w trakcie choroby nowotworowej. Problem niedożywienia w chorobie nowotworowej;</w:t>
            </w:r>
          </w:p>
          <w:p w:rsidR="00E21FC1" w:rsidRPr="00A17FA5" w:rsidRDefault="00E21FC1" w:rsidP="00E21FC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Żywienie w trakcie terapii onkologicznej;</w:t>
            </w:r>
          </w:p>
          <w:p w:rsidR="00E21FC1" w:rsidRPr="00A17FA5" w:rsidRDefault="00E21FC1" w:rsidP="00E21FC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Preparaty IND, leczenie żywieniowe, dieta łatwostrawna;</w:t>
            </w:r>
          </w:p>
          <w:p w:rsidR="00E21FC1" w:rsidRPr="00A17FA5" w:rsidRDefault="00E21FC1" w:rsidP="00E21FC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żywienia po wyleczeniu;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sz w:val="20"/>
                <w:szCs w:val="20"/>
              </w:rPr>
              <w:t>W1, W2, W3, W4, W5, W6, U1, U2, U3, U4, U5, U6, U7, U8, K1, K2</w:t>
            </w:r>
          </w:p>
        </w:tc>
      </w:tr>
      <w:tr w:rsidR="00A3096F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C01834" w:rsidRDefault="00A3096F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bookmarkEnd w:id="0"/>
    </w:tbl>
    <w:p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C01834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E21FC1" w:rsidRDefault="00254B65" w:rsidP="00E21FC1">
            <w:pPr>
              <w:spacing w:after="0" w:line="259" w:lineRule="auto"/>
              <w:ind w:left="0" w:right="389" w:firstLine="0"/>
              <w:rPr>
                <w:color w:val="auto"/>
                <w:szCs w:val="18"/>
              </w:rPr>
            </w:pPr>
            <w:r w:rsidRPr="00E21FC1">
              <w:rPr>
                <w:rStyle w:val="value"/>
                <w:rFonts w:cs="Times New Roman"/>
                <w:b/>
                <w:color w:val="auto"/>
                <w:szCs w:val="18"/>
              </w:rPr>
              <w:fldChar w:fldCharType="begin"/>
            </w:r>
            <w:r w:rsidR="00E21FC1" w:rsidRPr="00E21FC1">
              <w:rPr>
                <w:rStyle w:val="value"/>
                <w:rFonts w:cs="Times New Roman"/>
                <w:color w:val="auto"/>
                <w:szCs w:val="18"/>
              </w:rPr>
              <w:instrText xml:space="preserve"> HYPERLINK "https://pzwl.pl/autor/Andrzej-W.-Szawlowski,a,78558258" \o "Andrzej W.  Szawłowski" </w:instrText>
            </w:r>
            <w:r w:rsidRPr="00E21FC1">
              <w:rPr>
                <w:rStyle w:val="value"/>
                <w:rFonts w:cs="Times New Roman"/>
                <w:b/>
                <w:color w:val="auto"/>
                <w:szCs w:val="18"/>
              </w:rPr>
              <w:fldChar w:fldCharType="separate"/>
            </w:r>
            <w:r w:rsidR="00E21FC1" w:rsidRPr="00E21FC1">
              <w:rPr>
                <w:rStyle w:val="Hipercze"/>
                <w:rFonts w:cs="Times New Roman"/>
                <w:color w:val="auto"/>
                <w:szCs w:val="18"/>
                <w:u w:val="none"/>
              </w:rPr>
              <w:t xml:space="preserve">Andrzej W. </w:t>
            </w:r>
            <w:proofErr w:type="spellStart"/>
            <w:r w:rsidR="00E21FC1" w:rsidRPr="00E21FC1">
              <w:rPr>
                <w:rStyle w:val="Hipercze"/>
                <w:rFonts w:cs="Times New Roman"/>
                <w:color w:val="auto"/>
                <w:szCs w:val="18"/>
                <w:u w:val="none"/>
              </w:rPr>
              <w:t>Szawłowski</w:t>
            </w:r>
            <w:proofErr w:type="spellEnd"/>
            <w:r w:rsidRPr="00E21FC1">
              <w:rPr>
                <w:rStyle w:val="value"/>
                <w:rFonts w:cs="Times New Roman"/>
                <w:b/>
                <w:color w:val="auto"/>
                <w:szCs w:val="18"/>
              </w:rPr>
              <w:fldChar w:fldCharType="end"/>
            </w:r>
            <w:r w:rsidR="00E21FC1" w:rsidRPr="00E21FC1">
              <w:rPr>
                <w:rStyle w:val="value"/>
                <w:rFonts w:cs="Times New Roman"/>
                <w:color w:val="auto"/>
                <w:szCs w:val="18"/>
              </w:rPr>
              <w:t xml:space="preserve">, </w:t>
            </w:r>
            <w:hyperlink r:id="rId9" w:tooltip="Joanna Gromadzka-Ostrowska" w:history="1">
              <w:r w:rsidR="00E21FC1" w:rsidRPr="00E21FC1">
                <w:rPr>
                  <w:rStyle w:val="Hipercze"/>
                  <w:rFonts w:cs="Times New Roman"/>
                  <w:color w:val="auto"/>
                  <w:szCs w:val="18"/>
                  <w:u w:val="none"/>
                </w:rPr>
                <w:t>Joanna Gromadzka-Ostrowska</w:t>
              </w:r>
            </w:hyperlink>
            <w:r w:rsidR="00E21FC1" w:rsidRPr="00E21FC1">
              <w:rPr>
                <w:rStyle w:val="value"/>
                <w:rFonts w:cs="Times New Roman"/>
                <w:color w:val="auto"/>
                <w:szCs w:val="18"/>
              </w:rPr>
              <w:t xml:space="preserve">, </w:t>
            </w:r>
            <w:hyperlink r:id="rId10" w:tooltip="Piotr Paluszkiewicz" w:history="1">
              <w:r w:rsidR="00E21FC1" w:rsidRPr="00E21FC1">
                <w:rPr>
                  <w:rStyle w:val="Hipercze"/>
                  <w:rFonts w:cs="Times New Roman"/>
                  <w:color w:val="auto"/>
                  <w:szCs w:val="18"/>
                  <w:u w:val="none"/>
                </w:rPr>
                <w:t>Piotr Paluszkiewicz</w:t>
              </w:r>
            </w:hyperlink>
            <w:r w:rsidR="00E21FC1" w:rsidRPr="00E21FC1">
              <w:rPr>
                <w:rStyle w:val="value"/>
                <w:rFonts w:cs="Times New Roman"/>
                <w:color w:val="auto"/>
                <w:szCs w:val="18"/>
              </w:rPr>
              <w:t xml:space="preserve">, </w:t>
            </w:r>
            <w:hyperlink r:id="rId11" w:tooltip="Maciej Słodkowski" w:history="1">
              <w:r w:rsidR="00E21FC1" w:rsidRPr="00E21FC1">
                <w:rPr>
                  <w:rStyle w:val="Hipercze"/>
                  <w:rFonts w:cs="Times New Roman"/>
                  <w:color w:val="auto"/>
                  <w:szCs w:val="18"/>
                  <w:u w:val="none"/>
                </w:rPr>
                <w:t>Maciej Słodkowski</w:t>
              </w:r>
            </w:hyperlink>
            <w:r w:rsidR="00E21FC1" w:rsidRPr="00E21FC1">
              <w:rPr>
                <w:rStyle w:val="value"/>
                <w:rFonts w:cs="Times New Roman"/>
                <w:color w:val="auto"/>
                <w:szCs w:val="18"/>
              </w:rPr>
              <w:t xml:space="preserve">, </w:t>
            </w:r>
            <w:hyperlink r:id="rId12" w:tooltip="Jacek Sobocki" w:history="1">
              <w:r w:rsidR="00E21FC1" w:rsidRPr="00E21FC1">
                <w:rPr>
                  <w:rStyle w:val="Hipercze"/>
                  <w:rFonts w:cs="Times New Roman"/>
                  <w:color w:val="auto"/>
                  <w:szCs w:val="18"/>
                  <w:u w:val="none"/>
                </w:rPr>
                <w:t>Jacek Sobocki</w:t>
              </w:r>
            </w:hyperlink>
            <w:r w:rsidR="00E21FC1" w:rsidRPr="00E21FC1">
              <w:rPr>
                <w:rStyle w:val="value"/>
                <w:rFonts w:cs="Times New Roman"/>
                <w:color w:val="auto"/>
                <w:szCs w:val="18"/>
              </w:rPr>
              <w:t xml:space="preserve">  </w:t>
            </w:r>
            <w:r w:rsidR="00E21FC1" w:rsidRPr="00E21FC1">
              <w:rPr>
                <w:rStyle w:val="name"/>
                <w:rFonts w:cs="Times New Roman"/>
                <w:color w:val="auto"/>
                <w:szCs w:val="18"/>
              </w:rPr>
              <w:t>Żywienie w chorobach nowotworowych, PZWL, Warszawa 2020.</w:t>
            </w:r>
          </w:p>
        </w:tc>
      </w:tr>
      <w:tr w:rsidR="00014630" w:rsidRPr="00C01834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E21FC1" w:rsidRDefault="00E21FC1" w:rsidP="00E21FC1">
            <w:pPr>
              <w:spacing w:after="0" w:line="259" w:lineRule="auto"/>
              <w:ind w:left="0" w:right="530" w:firstLine="0"/>
              <w:rPr>
                <w:color w:val="auto"/>
                <w:szCs w:val="18"/>
              </w:rPr>
            </w:pPr>
            <w:r w:rsidRPr="00E21FC1">
              <w:rPr>
                <w:rFonts w:cs="Times New Roman"/>
                <w:szCs w:val="18"/>
              </w:rPr>
              <w:t>Wieczorek-Chełmińska Z., Żywienie w chorobach nowotworowych PZWL, Warszawa, 2006.</w:t>
            </w:r>
          </w:p>
        </w:tc>
      </w:tr>
    </w:tbl>
    <w:p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C01834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E21FC1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sz w:val="20"/>
                <w:szCs w:val="20"/>
              </w:rPr>
              <w:t>W1, W2, W3, W4, W5, W6, U1, U2, U3, U4, U5, U6, U7, U8, K1, K2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Próg zaliczeniowy 60 %</w:t>
            </w:r>
          </w:p>
        </w:tc>
      </w:tr>
    </w:tbl>
    <w:p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014630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Default="008D2A3B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(tu należy zamieścić informacje istotne z punktu widzenia nauczyciela niezawarte w pozostałej części sylabusa,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w 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szczególności w oparciu o regulacje 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lastRenderedPageBreak/>
              <w:t>wynikające z § 26 ust. 1 i 2, § 27 ust. 3 oraz § 28 ust. 1 Regulamin</w:t>
            </w:r>
            <w:r w:rsidR="00BE7443">
              <w:rPr>
                <w:b/>
                <w:bCs/>
                <w:i/>
                <w:iCs/>
                <w:color w:val="auto"/>
                <w:sz w:val="16"/>
                <w:szCs w:val="16"/>
              </w:rPr>
              <w:t>u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Studiów wskazanie liczby terminów zaliczeń przedmiotu, w tym zaliczeń dopuszczających do egzaminu</w:t>
            </w:r>
            <w:r>
              <w:rPr>
                <w:i/>
                <w:iCs/>
                <w:color w:val="auto"/>
                <w:sz w:val="16"/>
                <w:szCs w:val="16"/>
              </w:rPr>
              <w:t>, oraz np. czy przedmiot jest powiązany z badaniami naukowymi, szczegółowy opis egzaminu, informacje o kole naukowym)</w:t>
            </w:r>
          </w:p>
          <w:p w:rsidR="00E21FC1" w:rsidRDefault="00E21FC1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E21FC1" w:rsidRDefault="00E21FC1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Kolokwium końcowe składa się z 10 pytań jednokrotnego wyboru. Do uzyskania zaliczenia niezbędne jest zapoznanie się ze wszystkim materiałami zamieszczonymi na platformie e-learning.wum.edu.pl i uzyskanie co najmniej 60% punktów z kolokwium. Kolokwium końcowe w formie </w:t>
            </w:r>
            <w:proofErr w:type="spellStart"/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on-line</w:t>
            </w:r>
            <w:proofErr w:type="spellEnd"/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odbędzie się przed sesją (informacje o  terminie o godzinie kolokwium zostaną podane w październiku 202</w:t>
            </w:r>
            <w:r w:rsidR="00D976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dla uczestników w semestrze zimowym i w marcu 202</w:t>
            </w:r>
            <w:r w:rsidR="00D976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dla uczestników w semestrze letnim).</w:t>
            </w:r>
          </w:p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 Zakładzie Pro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pedeutyki </w:t>
            </w: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Onkologicznej działa Studenckie Koło Naukowe Biologii Komórki Nowotworowej. Osoby zainteresowane pracą w kole zapraszamy i prosimy o kontakt.</w:t>
            </w:r>
          </w:p>
          <w:p w:rsidR="00E21FC1" w:rsidRPr="00C01834" w:rsidRDefault="00254B65" w:rsidP="00E21FC1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hyperlink r:id="rId13" w:history="1">
              <w:r w:rsidR="00E21FC1" w:rsidRPr="00A17F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http://sknbkn.wum.edu.pl/</w:t>
              </w:r>
            </w:hyperlink>
          </w:p>
        </w:tc>
      </w:tr>
    </w:tbl>
    <w:p w:rsidR="00F016D9" w:rsidRPr="00A97D1F" w:rsidRDefault="00254B65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lastRenderedPageBreak/>
        <w:pict>
          <v:shape id="_x0000_s1027" type="#_x0000_t202" style="position:absolute;margin-left:-7.25pt;margin-top:637.15pt;width:517.5pt;height:110.6pt;z-index:2516613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<v:textbox style="mso-fit-shape-to-text:t"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BBF" w:rsidRDefault="00B15BBF">
      <w:pPr>
        <w:spacing w:after="0" w:line="240" w:lineRule="auto"/>
      </w:pPr>
      <w:r>
        <w:separator/>
      </w:r>
    </w:p>
  </w:endnote>
  <w:endnote w:type="continuationSeparator" w:id="0">
    <w:p w:rsidR="00B15BBF" w:rsidRDefault="00B1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254B65">
    <w:pPr>
      <w:spacing w:after="0" w:line="259" w:lineRule="auto"/>
      <w:ind w:left="0" w:right="-23" w:firstLine="0"/>
      <w:jc w:val="right"/>
    </w:pPr>
    <w:r w:rsidRPr="00254B65">
      <w:rPr>
        <w:noProof/>
        <w:sz w:val="22"/>
      </w:rPr>
      <w:pict>
        <v:group id="Group 36256" o:spid="_x0000_s2053" style="position:absolute;left:0;text-align:left;margin-left:42.5pt;margin-top:787.3pt;width:510.25pt;height:.75pt;z-index:251658240;mso-position-horizontal-relative:page;mso-position-vertical-relative:page" coordsize="64800,95">
          <v:shape id="Shape 36257" o:spid="_x0000_s2054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254B65">
      <w:fldChar w:fldCharType="begin"/>
    </w:r>
    <w:r w:rsidR="00181CEC">
      <w:instrText xml:space="preserve"> PAGE   \* MERGEFORMAT </w:instrText>
    </w:r>
    <w:r w:rsidRPr="00254B65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254B65">
    <w:pPr>
      <w:spacing w:after="0" w:line="259" w:lineRule="auto"/>
      <w:ind w:left="0" w:right="-23" w:firstLine="0"/>
      <w:jc w:val="right"/>
    </w:pPr>
    <w:r w:rsidRPr="00254B65">
      <w:rPr>
        <w:noProof/>
        <w:sz w:val="22"/>
      </w:rPr>
      <w:pict>
        <v:group id="Group 36246" o:spid="_x0000_s2051" style="position:absolute;left:0;text-align:left;margin-left:42.5pt;margin-top:787.3pt;width:510.25pt;height:.75pt;z-index:251659264;mso-position-horizontal-relative:page;mso-position-vertical-relative:page" coordsize="64800,95">
          <v:shape id="Shape 36247" o:spid="_x0000_s2052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254B65">
      <w:fldChar w:fldCharType="begin"/>
    </w:r>
    <w:r w:rsidR="00181CEC">
      <w:instrText xml:space="preserve"> PAGE   \* MERGEFORMAT </w:instrText>
    </w:r>
    <w:r w:rsidRPr="00254B65">
      <w:fldChar w:fldCharType="separate"/>
    </w:r>
    <w:r w:rsidR="00D976AA" w:rsidRPr="00D976AA">
      <w:rPr>
        <w:noProof/>
        <w:sz w:val="22"/>
      </w:rPr>
      <w:t>5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D976AA" w:rsidRPr="00D976AA">
        <w:rPr>
          <w:noProof/>
          <w:sz w:val="22"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254B65">
    <w:pPr>
      <w:spacing w:after="0" w:line="259" w:lineRule="auto"/>
      <w:ind w:left="0" w:right="-23" w:firstLine="0"/>
      <w:jc w:val="right"/>
    </w:pPr>
    <w:r w:rsidRPr="00254B65">
      <w:rPr>
        <w:noProof/>
        <w:sz w:val="22"/>
      </w:rPr>
      <w:pict>
        <v:group id="Group 36236" o:spid="_x0000_s2049" style="position:absolute;left:0;text-align:left;margin-left:42.5pt;margin-top:787.3pt;width:510.25pt;height:.75pt;z-index:251660288;mso-position-horizontal-relative:page;mso-position-vertical-relative:page" coordsize="64800,95">
          <v:shape id="Shape 36237" o:spid="_x0000_s2050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254B65">
      <w:fldChar w:fldCharType="begin"/>
    </w:r>
    <w:r w:rsidR="00181CEC">
      <w:instrText xml:space="preserve"> PAGE   \* MERGEFORMAT </w:instrText>
    </w:r>
    <w:r w:rsidRPr="00254B65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BBF" w:rsidRDefault="00B15BBF">
      <w:pPr>
        <w:spacing w:after="0" w:line="240" w:lineRule="auto"/>
      </w:pPr>
      <w:r>
        <w:separator/>
      </w:r>
    </w:p>
  </w:footnote>
  <w:footnote w:type="continuationSeparator" w:id="0">
    <w:p w:rsidR="00B15BBF" w:rsidRDefault="00B15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40750"/>
    <w:multiLevelType w:val="hybridMultilevel"/>
    <w:tmpl w:val="5248E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65161"/>
    <w:rsid w:val="000825E9"/>
    <w:rsid w:val="000A61A5"/>
    <w:rsid w:val="000A7778"/>
    <w:rsid w:val="000C639F"/>
    <w:rsid w:val="000E7357"/>
    <w:rsid w:val="00133592"/>
    <w:rsid w:val="00141A71"/>
    <w:rsid w:val="00160769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54B65"/>
    <w:rsid w:val="0027046E"/>
    <w:rsid w:val="002D0492"/>
    <w:rsid w:val="002F3B26"/>
    <w:rsid w:val="0030271A"/>
    <w:rsid w:val="0033275B"/>
    <w:rsid w:val="0035040A"/>
    <w:rsid w:val="00382A13"/>
    <w:rsid w:val="003A2874"/>
    <w:rsid w:val="003E5092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53261C"/>
    <w:rsid w:val="00562624"/>
    <w:rsid w:val="005818F5"/>
    <w:rsid w:val="00590D10"/>
    <w:rsid w:val="005944D4"/>
    <w:rsid w:val="005C7645"/>
    <w:rsid w:val="0064087A"/>
    <w:rsid w:val="006A442B"/>
    <w:rsid w:val="006A73C8"/>
    <w:rsid w:val="006B012B"/>
    <w:rsid w:val="006B6B0B"/>
    <w:rsid w:val="006C524C"/>
    <w:rsid w:val="006D018B"/>
    <w:rsid w:val="006F1A6D"/>
    <w:rsid w:val="00724BB4"/>
    <w:rsid w:val="00724F33"/>
    <w:rsid w:val="00732CF5"/>
    <w:rsid w:val="00792FD5"/>
    <w:rsid w:val="00861D21"/>
    <w:rsid w:val="008A2F0E"/>
    <w:rsid w:val="008A3825"/>
    <w:rsid w:val="008B2234"/>
    <w:rsid w:val="008D2A3B"/>
    <w:rsid w:val="008E592D"/>
    <w:rsid w:val="009006B4"/>
    <w:rsid w:val="00900EC6"/>
    <w:rsid w:val="00901188"/>
    <w:rsid w:val="009B62DF"/>
    <w:rsid w:val="009E635F"/>
    <w:rsid w:val="009F6016"/>
    <w:rsid w:val="00A3096F"/>
    <w:rsid w:val="00A37850"/>
    <w:rsid w:val="00A42ACC"/>
    <w:rsid w:val="00A63CE6"/>
    <w:rsid w:val="00A97D1F"/>
    <w:rsid w:val="00AD2F54"/>
    <w:rsid w:val="00B15BBF"/>
    <w:rsid w:val="00B5341A"/>
    <w:rsid w:val="00B5568B"/>
    <w:rsid w:val="00B8221A"/>
    <w:rsid w:val="00B93718"/>
    <w:rsid w:val="00B973EC"/>
    <w:rsid w:val="00BB23E6"/>
    <w:rsid w:val="00BE3148"/>
    <w:rsid w:val="00BE7443"/>
    <w:rsid w:val="00BF74E9"/>
    <w:rsid w:val="00BF7BFD"/>
    <w:rsid w:val="00C01834"/>
    <w:rsid w:val="00C174A8"/>
    <w:rsid w:val="00C24D59"/>
    <w:rsid w:val="00C92ECE"/>
    <w:rsid w:val="00CA3ACF"/>
    <w:rsid w:val="00D147A3"/>
    <w:rsid w:val="00D15889"/>
    <w:rsid w:val="00D31854"/>
    <w:rsid w:val="00D320E0"/>
    <w:rsid w:val="00D56CEB"/>
    <w:rsid w:val="00D928FC"/>
    <w:rsid w:val="00D93A54"/>
    <w:rsid w:val="00D976AA"/>
    <w:rsid w:val="00DF679B"/>
    <w:rsid w:val="00E165E7"/>
    <w:rsid w:val="00E21FC1"/>
    <w:rsid w:val="00E55362"/>
    <w:rsid w:val="00E6064C"/>
    <w:rsid w:val="00E70A1B"/>
    <w:rsid w:val="00E817B4"/>
    <w:rsid w:val="00EB4E6F"/>
    <w:rsid w:val="00EE24F3"/>
    <w:rsid w:val="00EE6DD6"/>
    <w:rsid w:val="00EF1F36"/>
    <w:rsid w:val="00F016D9"/>
    <w:rsid w:val="00F17487"/>
    <w:rsid w:val="00F23FFA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BE3148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BE3148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BE3148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BE3148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BE31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30271A"/>
  </w:style>
  <w:style w:type="character" w:styleId="Hipercze">
    <w:name w:val="Hyperlink"/>
    <w:basedOn w:val="Domylnaczcionkaakapitu"/>
    <w:uiPriority w:val="99"/>
    <w:semiHidden/>
    <w:unhideWhenUsed/>
    <w:rsid w:val="00E21FC1"/>
    <w:rPr>
      <w:color w:val="0000FF"/>
      <w:u w:val="single"/>
    </w:rPr>
  </w:style>
  <w:style w:type="character" w:customStyle="1" w:styleId="value">
    <w:name w:val="value"/>
    <w:basedOn w:val="Domylnaczcionkaakapitu"/>
    <w:rsid w:val="00E21FC1"/>
  </w:style>
  <w:style w:type="character" w:customStyle="1" w:styleId="name">
    <w:name w:val="name"/>
    <w:basedOn w:val="Domylnaczcionkaakapitu"/>
    <w:rsid w:val="00E21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knbkn.wum.edu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zwl.pl/autor/Jacek-Sobocki,a,1231083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zwl.pl/autor/Maciej-Slodkowski,a,12310835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zwl.pl/autor/Piotr-Paluszkiewicz,a,12310835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zwl.pl/autor/Joanna-Gromadzka-Ostrowska,a,12310835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55FA1-E5D4-4BF6-8073-6A7759CE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2025-06-27T20:48:00Z</dcterms:created>
  <dcterms:modified xsi:type="dcterms:W3CDTF">2025-06-27T20:48:00Z</dcterms:modified>
</cp:coreProperties>
</file>